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C3DDE" w14:textId="77777777" w:rsidR="00C702D4" w:rsidRPr="005F1DC3" w:rsidRDefault="00C702D4" w:rsidP="00C702D4">
      <w:pPr>
        <w:jc w:val="center"/>
        <w:rPr>
          <w:rFonts w:asciiTheme="majorHAnsi" w:eastAsia="Calibri" w:hAnsiTheme="majorHAnsi" w:cstheme="majorHAnsi"/>
          <w:b/>
          <w:bCs/>
          <w:sz w:val="36"/>
          <w:szCs w:val="36"/>
        </w:rPr>
      </w:pPr>
      <w:r w:rsidRPr="005F1DC3">
        <w:rPr>
          <w:rFonts w:asciiTheme="majorHAnsi" w:eastAsia="Calibri" w:hAnsiTheme="majorHAnsi" w:cstheme="majorHAnsi"/>
          <w:b/>
          <w:bCs/>
          <w:sz w:val="36"/>
          <w:szCs w:val="36"/>
        </w:rPr>
        <w:t xml:space="preserve">Third Party </w:t>
      </w:r>
      <w:r>
        <w:rPr>
          <w:rFonts w:asciiTheme="majorHAnsi" w:eastAsia="Calibri" w:hAnsiTheme="majorHAnsi" w:cstheme="majorHAnsi"/>
          <w:b/>
          <w:bCs/>
          <w:sz w:val="36"/>
          <w:szCs w:val="36"/>
        </w:rPr>
        <w:t xml:space="preserve">Provider </w:t>
      </w:r>
      <w:r w:rsidRPr="005F1DC3">
        <w:rPr>
          <w:rFonts w:asciiTheme="majorHAnsi" w:eastAsia="Calibri" w:hAnsiTheme="majorHAnsi" w:cstheme="majorHAnsi"/>
          <w:b/>
          <w:bCs/>
          <w:sz w:val="36"/>
          <w:szCs w:val="36"/>
        </w:rPr>
        <w:t>Panel</w:t>
      </w:r>
      <w:r>
        <w:rPr>
          <w:rFonts w:asciiTheme="majorHAnsi" w:eastAsia="Calibri" w:hAnsiTheme="majorHAnsi" w:cstheme="majorHAnsi"/>
          <w:b/>
          <w:bCs/>
          <w:sz w:val="36"/>
          <w:szCs w:val="36"/>
        </w:rPr>
        <w:t>s</w:t>
      </w:r>
    </w:p>
    <w:p w14:paraId="6D9E501A" w14:textId="77777777" w:rsidR="00C702D4" w:rsidRDefault="00C702D4" w:rsidP="00C702D4">
      <w:pPr>
        <w:spacing w:after="160" w:line="276" w:lineRule="auto"/>
        <w:rPr>
          <w:rFonts w:eastAsia="Calibri" w:cstheme="minorHAnsi"/>
          <w:bCs/>
          <w:sz w:val="22"/>
          <w:szCs w:val="22"/>
        </w:rPr>
      </w:pPr>
      <w:r>
        <w:rPr>
          <w:rFonts w:eastAsia="Calibri" w:cstheme="minorHAnsi"/>
          <w:bCs/>
          <w:sz w:val="22"/>
          <w:szCs w:val="22"/>
        </w:rPr>
        <w:pict w14:anchorId="630E96CE">
          <v:rect id="_x0000_i1037" style="width:0;height:1.5pt" o:hralign="center" o:hrstd="t" o:hr="t" fillcolor="#a0a0a0" stroked="f"/>
        </w:pict>
      </w:r>
    </w:p>
    <w:p w14:paraId="6D73E935" w14:textId="77777777" w:rsidR="00C702D4" w:rsidRDefault="00C702D4" w:rsidP="00C702D4">
      <w:pPr>
        <w:pStyle w:val="Heading2"/>
        <w:rPr>
          <w:rFonts w:eastAsiaTheme="minorHAnsi"/>
          <w:lang w:val="en-AU"/>
        </w:rPr>
      </w:pPr>
      <w:r>
        <w:rPr>
          <w:rFonts w:eastAsiaTheme="minorHAnsi"/>
          <w:lang w:val="en-AU"/>
        </w:rPr>
        <w:t xml:space="preserve">What are the </w:t>
      </w:r>
      <w:proofErr w:type="gramStart"/>
      <w:r>
        <w:rPr>
          <w:rFonts w:eastAsiaTheme="minorHAnsi"/>
          <w:lang w:val="en-AU"/>
        </w:rPr>
        <w:t>Third Party</w:t>
      </w:r>
      <w:proofErr w:type="gramEnd"/>
      <w:r>
        <w:rPr>
          <w:rFonts w:eastAsiaTheme="minorHAnsi"/>
          <w:lang w:val="en-AU"/>
        </w:rPr>
        <w:t xml:space="preserve"> Provider Panels?</w:t>
      </w:r>
    </w:p>
    <w:p w14:paraId="12C68886" w14:textId="77777777" w:rsidR="00C702D4" w:rsidRDefault="00C702D4" w:rsidP="00C702D4">
      <w:pPr>
        <w:spacing w:after="160" w:line="259" w:lineRule="auto"/>
        <w:rPr>
          <w:rFonts w:cstheme="minorHAnsi"/>
          <w:sz w:val="22"/>
          <w:szCs w:val="22"/>
        </w:rPr>
      </w:pPr>
      <w:r w:rsidRPr="00EF31EB">
        <w:rPr>
          <w:rFonts w:cstheme="minorHAnsi"/>
          <w:sz w:val="22"/>
          <w:szCs w:val="22"/>
        </w:rPr>
        <w:t>In its capacity as the Native Title Representative Body for Victoria, FNLRS receives requests for assistance under section 2033BB of the Native Title Act 1993 (</w:t>
      </w:r>
      <w:proofErr w:type="spellStart"/>
      <w:r w:rsidRPr="00750C1A">
        <w:rPr>
          <w:rFonts w:cstheme="minorHAnsi"/>
          <w:sz w:val="22"/>
          <w:szCs w:val="22"/>
        </w:rPr>
        <w:t>Cth</w:t>
      </w:r>
      <w:proofErr w:type="spellEnd"/>
      <w:r w:rsidRPr="00EF31EB">
        <w:rPr>
          <w:rFonts w:cstheme="minorHAnsi"/>
          <w:sz w:val="22"/>
          <w:szCs w:val="22"/>
        </w:rPr>
        <w:t>). FNLRS is developing Third Party Provider Panels of lawyers and other professionals with requisite skills and experience who would be eligible to receive funding from FNLRS if an assistance request was granted and FNLRS was not able to provide the assistance.</w:t>
      </w:r>
      <w:r>
        <w:rPr>
          <w:rFonts w:cstheme="minorHAnsi"/>
          <w:sz w:val="22"/>
          <w:szCs w:val="22"/>
        </w:rPr>
        <w:t xml:space="preserve"> </w:t>
      </w:r>
      <w:r w:rsidRPr="00EF31EB">
        <w:rPr>
          <w:rFonts w:cstheme="minorHAnsi"/>
          <w:sz w:val="22"/>
          <w:szCs w:val="22"/>
        </w:rPr>
        <w:t xml:space="preserve">One panel will be for lawyers (solicitors and barristers) and one panel will be for non-legal service providers (including researchers, facilitators, and other advisors and consultants). </w:t>
      </w:r>
    </w:p>
    <w:p w14:paraId="6570304E" w14:textId="77777777" w:rsidR="00C702D4" w:rsidRPr="005A2BDD" w:rsidRDefault="00C702D4" w:rsidP="00C702D4">
      <w:pPr>
        <w:pStyle w:val="Heading1"/>
      </w:pPr>
      <w:r w:rsidRPr="005A2BDD">
        <w:t>Third Party Provider Panel (Legal)</w:t>
      </w:r>
    </w:p>
    <w:p w14:paraId="1BF9FFF2" w14:textId="77777777" w:rsidR="00C702D4" w:rsidRDefault="00C702D4" w:rsidP="00C702D4">
      <w:pPr>
        <w:pStyle w:val="Heading2"/>
        <w:rPr>
          <w:rFonts w:eastAsiaTheme="minorHAnsi"/>
          <w:lang w:val="en-AU"/>
        </w:rPr>
      </w:pPr>
      <w:r>
        <w:rPr>
          <w:rFonts w:eastAsiaTheme="minorHAnsi"/>
          <w:lang w:val="en-AU"/>
        </w:rPr>
        <w:t xml:space="preserve">What is the </w:t>
      </w:r>
      <w:proofErr w:type="gramStart"/>
      <w:r>
        <w:rPr>
          <w:rFonts w:eastAsiaTheme="minorHAnsi"/>
          <w:lang w:val="en-AU"/>
        </w:rPr>
        <w:t>Third Party</w:t>
      </w:r>
      <w:proofErr w:type="gramEnd"/>
      <w:r>
        <w:rPr>
          <w:rFonts w:eastAsiaTheme="minorHAnsi"/>
          <w:lang w:val="en-AU"/>
        </w:rPr>
        <w:t xml:space="preserve"> Provider Panel (Legal)?</w:t>
      </w:r>
    </w:p>
    <w:p w14:paraId="60DCB80F" w14:textId="77777777" w:rsidR="00C702D4" w:rsidRPr="005F1DC3" w:rsidRDefault="00C702D4" w:rsidP="00C702D4">
      <w:pPr>
        <w:pStyle w:val="ListParagraph"/>
        <w:numPr>
          <w:ilvl w:val="0"/>
          <w:numId w:val="4"/>
        </w:numPr>
        <w:spacing w:after="160" w:line="259" w:lineRule="auto"/>
        <w:rPr>
          <w:rFonts w:asciiTheme="minorHAnsi" w:hAnsiTheme="minorHAnsi" w:cstheme="minorHAnsi"/>
          <w:sz w:val="22"/>
          <w:szCs w:val="22"/>
        </w:rPr>
      </w:pPr>
      <w:r w:rsidRPr="005F1DC3">
        <w:rPr>
          <w:rFonts w:asciiTheme="minorHAnsi" w:hAnsiTheme="minorHAnsi" w:cstheme="minorHAnsi"/>
          <w:sz w:val="22"/>
          <w:szCs w:val="22"/>
        </w:rPr>
        <w:t>A panel of lawyers accredited to provide high quality legal services to Victorian Traditional Owners in relation to:</w:t>
      </w:r>
    </w:p>
    <w:p w14:paraId="0E8E0CCA" w14:textId="77777777" w:rsidR="00C702D4" w:rsidRPr="00BF7C59" w:rsidRDefault="00C702D4" w:rsidP="00C702D4">
      <w:pPr>
        <w:pStyle w:val="ListParagraph"/>
        <w:numPr>
          <w:ilvl w:val="1"/>
          <w:numId w:val="4"/>
        </w:numPr>
        <w:spacing w:after="160" w:line="259" w:lineRule="auto"/>
        <w:rPr>
          <w:rFonts w:asciiTheme="minorHAnsi" w:hAnsiTheme="minorHAnsi" w:cstheme="minorHAnsi"/>
          <w:sz w:val="22"/>
          <w:szCs w:val="22"/>
        </w:rPr>
      </w:pPr>
      <w:r w:rsidRPr="005F1DC3">
        <w:rPr>
          <w:rFonts w:asciiTheme="minorHAnsi" w:hAnsiTheme="minorHAnsi" w:cstheme="minorHAnsi"/>
          <w:sz w:val="22"/>
          <w:szCs w:val="22"/>
        </w:rPr>
        <w:t>Native title claims and native title outcomes including those under the Native Title Act and the Victorian Traditional Owner Settlement Act</w:t>
      </w:r>
      <w:r w:rsidRPr="00BF7C59">
        <w:rPr>
          <w:rFonts w:asciiTheme="minorHAnsi" w:hAnsiTheme="minorHAnsi" w:cstheme="minorHAnsi"/>
          <w:sz w:val="22"/>
          <w:szCs w:val="22"/>
        </w:rPr>
        <w:t>; and</w:t>
      </w:r>
    </w:p>
    <w:p w14:paraId="7A8D6617" w14:textId="77777777" w:rsidR="00C702D4" w:rsidRPr="005F1DC3" w:rsidRDefault="00C702D4" w:rsidP="00C702D4">
      <w:pPr>
        <w:pStyle w:val="ListParagraph"/>
        <w:numPr>
          <w:ilvl w:val="1"/>
          <w:numId w:val="4"/>
        </w:numPr>
        <w:spacing w:after="160" w:line="259" w:lineRule="auto"/>
        <w:rPr>
          <w:rFonts w:asciiTheme="minorHAnsi" w:hAnsiTheme="minorHAnsi" w:cstheme="minorHAnsi"/>
          <w:sz w:val="22"/>
          <w:szCs w:val="22"/>
        </w:rPr>
      </w:pPr>
      <w:r w:rsidRPr="005F1DC3">
        <w:rPr>
          <w:rFonts w:asciiTheme="minorHAnsi" w:hAnsiTheme="minorHAnsi" w:cstheme="minorHAnsi"/>
          <w:sz w:val="22"/>
          <w:szCs w:val="22"/>
        </w:rPr>
        <w:t xml:space="preserve">Dispute resolution within and between Traditional Owner groups.   </w:t>
      </w:r>
    </w:p>
    <w:p w14:paraId="1D926FDA" w14:textId="77777777" w:rsidR="00C702D4" w:rsidRPr="008C7DDB" w:rsidRDefault="00C702D4" w:rsidP="00C702D4">
      <w:pPr>
        <w:pStyle w:val="ListParagraph"/>
        <w:numPr>
          <w:ilvl w:val="0"/>
          <w:numId w:val="4"/>
        </w:numPr>
        <w:spacing w:after="160" w:line="259" w:lineRule="auto"/>
        <w:rPr>
          <w:rFonts w:asciiTheme="minorHAnsi" w:hAnsiTheme="minorHAnsi" w:cstheme="minorHAnsi"/>
          <w:i/>
          <w:iCs/>
          <w:sz w:val="22"/>
          <w:szCs w:val="22"/>
        </w:rPr>
      </w:pPr>
      <w:r>
        <w:rPr>
          <w:rFonts w:asciiTheme="minorHAnsi" w:hAnsiTheme="minorHAnsi" w:cstheme="minorHAnsi"/>
          <w:sz w:val="22"/>
          <w:szCs w:val="22"/>
        </w:rPr>
        <w:t>The panel is open to solicitors and barristers.</w:t>
      </w:r>
    </w:p>
    <w:p w14:paraId="15D9BC77" w14:textId="77777777" w:rsidR="00C702D4" w:rsidRPr="00022B0A" w:rsidRDefault="00C702D4" w:rsidP="00C702D4">
      <w:pPr>
        <w:pStyle w:val="ListParagraph"/>
        <w:numPr>
          <w:ilvl w:val="0"/>
          <w:numId w:val="4"/>
        </w:numPr>
        <w:spacing w:after="160" w:line="259" w:lineRule="auto"/>
        <w:rPr>
          <w:rFonts w:asciiTheme="minorHAnsi" w:hAnsiTheme="minorHAnsi" w:cstheme="minorHAnsi"/>
          <w:i/>
          <w:iCs/>
          <w:sz w:val="22"/>
          <w:szCs w:val="22"/>
        </w:rPr>
      </w:pPr>
      <w:r w:rsidRPr="005F1DC3">
        <w:rPr>
          <w:rFonts w:asciiTheme="minorHAnsi" w:hAnsiTheme="minorHAnsi" w:cstheme="minorHAnsi"/>
          <w:sz w:val="22"/>
          <w:szCs w:val="22"/>
        </w:rPr>
        <w:t xml:space="preserve">Lawyers appointed to the panel will be eligible for funding on a </w:t>
      </w:r>
      <w:proofErr w:type="gramStart"/>
      <w:r w:rsidRPr="005F1DC3">
        <w:rPr>
          <w:rFonts w:asciiTheme="minorHAnsi" w:hAnsiTheme="minorHAnsi" w:cstheme="minorHAnsi"/>
          <w:sz w:val="22"/>
          <w:szCs w:val="22"/>
        </w:rPr>
        <w:t>third party</w:t>
      </w:r>
      <w:proofErr w:type="gramEnd"/>
      <w:r w:rsidRPr="005F1DC3">
        <w:rPr>
          <w:rFonts w:asciiTheme="minorHAnsi" w:hAnsiTheme="minorHAnsi" w:cstheme="minorHAnsi"/>
          <w:sz w:val="22"/>
          <w:szCs w:val="22"/>
        </w:rPr>
        <w:t xml:space="preserve"> basis to provide support to Victorian Traditional Owner groups subject to satisfaction of FNLRS’ </w:t>
      </w:r>
      <w:r w:rsidRPr="005F1DC3">
        <w:rPr>
          <w:rFonts w:asciiTheme="minorHAnsi" w:hAnsiTheme="minorHAnsi" w:cstheme="minorHAnsi"/>
          <w:i/>
          <w:iCs/>
          <w:sz w:val="22"/>
          <w:szCs w:val="22"/>
        </w:rPr>
        <w:t xml:space="preserve">Guidelines for </w:t>
      </w:r>
      <w:r>
        <w:rPr>
          <w:rFonts w:asciiTheme="minorHAnsi" w:hAnsiTheme="minorHAnsi" w:cstheme="minorHAnsi"/>
          <w:i/>
          <w:iCs/>
          <w:sz w:val="22"/>
          <w:szCs w:val="22"/>
        </w:rPr>
        <w:t>A</w:t>
      </w:r>
      <w:r w:rsidRPr="005F1DC3">
        <w:rPr>
          <w:rFonts w:asciiTheme="minorHAnsi" w:hAnsiTheme="minorHAnsi" w:cstheme="minorHAnsi"/>
          <w:i/>
          <w:iCs/>
          <w:sz w:val="22"/>
          <w:szCs w:val="22"/>
        </w:rPr>
        <w:t xml:space="preserve">ssistance to Native Title Groups </w:t>
      </w:r>
      <w:r w:rsidRPr="005F1DC3">
        <w:rPr>
          <w:rFonts w:asciiTheme="minorHAnsi" w:hAnsiTheme="minorHAnsi" w:cstheme="minorHAnsi"/>
          <w:sz w:val="22"/>
          <w:szCs w:val="22"/>
        </w:rPr>
        <w:t>(the Guidelines).</w:t>
      </w:r>
    </w:p>
    <w:p w14:paraId="5D1FD288" w14:textId="77777777" w:rsidR="00C702D4" w:rsidRDefault="00C702D4" w:rsidP="00C702D4">
      <w:pPr>
        <w:pStyle w:val="Heading2"/>
      </w:pPr>
      <w:r>
        <w:t>What are the eligibility criteria for the panel?</w:t>
      </w:r>
    </w:p>
    <w:p w14:paraId="28DC992E" w14:textId="77777777" w:rsidR="00C702D4" w:rsidRPr="005F1DC3" w:rsidRDefault="00C702D4" w:rsidP="00C702D4">
      <w:pPr>
        <w:pStyle w:val="ListParagraph"/>
        <w:numPr>
          <w:ilvl w:val="0"/>
          <w:numId w:val="4"/>
        </w:numPr>
        <w:spacing w:after="160" w:line="259" w:lineRule="auto"/>
        <w:rPr>
          <w:rFonts w:asciiTheme="minorHAnsi" w:hAnsiTheme="minorHAnsi" w:cstheme="minorHAnsi"/>
          <w:sz w:val="22"/>
          <w:szCs w:val="22"/>
        </w:rPr>
      </w:pPr>
      <w:r w:rsidRPr="005F1DC3">
        <w:rPr>
          <w:rFonts w:asciiTheme="minorHAnsi" w:hAnsiTheme="minorHAnsi" w:cstheme="minorHAnsi"/>
          <w:sz w:val="22"/>
          <w:szCs w:val="22"/>
        </w:rPr>
        <w:t>Australian lawyers with a minimum of 5 years’ experience.</w:t>
      </w:r>
    </w:p>
    <w:p w14:paraId="31ED3129" w14:textId="77777777" w:rsidR="00C702D4" w:rsidRPr="005F1DC3" w:rsidRDefault="00C702D4" w:rsidP="00C702D4">
      <w:pPr>
        <w:pStyle w:val="ListParagraph"/>
        <w:numPr>
          <w:ilvl w:val="0"/>
          <w:numId w:val="4"/>
        </w:numPr>
        <w:spacing w:after="160" w:line="259" w:lineRule="auto"/>
        <w:rPr>
          <w:rFonts w:asciiTheme="minorHAnsi" w:hAnsiTheme="minorHAnsi" w:cstheme="minorHAnsi"/>
          <w:sz w:val="22"/>
          <w:szCs w:val="22"/>
        </w:rPr>
      </w:pPr>
      <w:r w:rsidRPr="005F1DC3">
        <w:rPr>
          <w:rFonts w:asciiTheme="minorHAnsi" w:hAnsiTheme="minorHAnsi" w:cstheme="minorHAnsi"/>
          <w:sz w:val="22"/>
          <w:szCs w:val="22"/>
        </w:rPr>
        <w:t>Experience in successfully prosecuting native title claims</w:t>
      </w:r>
      <w:r>
        <w:rPr>
          <w:rFonts w:asciiTheme="minorHAnsi" w:hAnsiTheme="minorHAnsi" w:cstheme="minorHAnsi"/>
          <w:sz w:val="22"/>
          <w:szCs w:val="22"/>
        </w:rPr>
        <w:t>.</w:t>
      </w:r>
    </w:p>
    <w:p w14:paraId="7383B541" w14:textId="77777777" w:rsidR="00C702D4" w:rsidRPr="005F1DC3" w:rsidRDefault="00C702D4" w:rsidP="00C702D4">
      <w:pPr>
        <w:pStyle w:val="ListParagraph"/>
        <w:numPr>
          <w:ilvl w:val="0"/>
          <w:numId w:val="4"/>
        </w:numPr>
        <w:spacing w:after="160" w:line="259" w:lineRule="auto"/>
        <w:rPr>
          <w:rFonts w:asciiTheme="minorHAnsi" w:hAnsiTheme="minorHAnsi" w:cstheme="minorHAnsi"/>
          <w:sz w:val="22"/>
          <w:szCs w:val="22"/>
        </w:rPr>
      </w:pPr>
      <w:r w:rsidRPr="005F1DC3">
        <w:rPr>
          <w:rFonts w:asciiTheme="minorHAnsi" w:hAnsiTheme="minorHAnsi" w:cstheme="minorHAnsi"/>
          <w:sz w:val="22"/>
          <w:szCs w:val="22"/>
        </w:rPr>
        <w:t>Experience in negotiating native title outcomes</w:t>
      </w:r>
      <w:r>
        <w:rPr>
          <w:rFonts w:asciiTheme="minorHAnsi" w:hAnsiTheme="minorHAnsi" w:cstheme="minorHAnsi"/>
          <w:sz w:val="22"/>
          <w:szCs w:val="22"/>
        </w:rPr>
        <w:t>.</w:t>
      </w:r>
    </w:p>
    <w:p w14:paraId="1ECD63C5" w14:textId="77777777" w:rsidR="00C702D4" w:rsidRPr="005F1DC3" w:rsidRDefault="00C702D4" w:rsidP="00C702D4">
      <w:pPr>
        <w:pStyle w:val="ListParagraph"/>
        <w:numPr>
          <w:ilvl w:val="0"/>
          <w:numId w:val="4"/>
        </w:numPr>
        <w:spacing w:after="160" w:line="259" w:lineRule="auto"/>
        <w:rPr>
          <w:rFonts w:asciiTheme="minorHAnsi" w:hAnsiTheme="minorHAnsi" w:cstheme="minorHAnsi"/>
          <w:sz w:val="22"/>
          <w:szCs w:val="22"/>
        </w:rPr>
      </w:pPr>
      <w:r w:rsidRPr="005F1DC3">
        <w:rPr>
          <w:rFonts w:asciiTheme="minorHAnsi" w:hAnsiTheme="minorHAnsi" w:cstheme="minorHAnsi"/>
          <w:sz w:val="22"/>
          <w:szCs w:val="22"/>
        </w:rPr>
        <w:t>Experience working with Traditional Owners</w:t>
      </w:r>
      <w:r>
        <w:rPr>
          <w:rFonts w:asciiTheme="minorHAnsi" w:hAnsiTheme="minorHAnsi" w:cstheme="minorHAnsi"/>
          <w:sz w:val="22"/>
          <w:szCs w:val="22"/>
        </w:rPr>
        <w:t>.</w:t>
      </w:r>
    </w:p>
    <w:p w14:paraId="4879386F" w14:textId="77777777" w:rsidR="00C702D4" w:rsidRPr="005F1DC3" w:rsidRDefault="00C702D4" w:rsidP="00C702D4">
      <w:pPr>
        <w:pStyle w:val="ListParagraph"/>
        <w:numPr>
          <w:ilvl w:val="0"/>
          <w:numId w:val="4"/>
        </w:numPr>
        <w:spacing w:after="160" w:line="259" w:lineRule="auto"/>
        <w:rPr>
          <w:rFonts w:asciiTheme="minorHAnsi" w:hAnsiTheme="minorHAnsi" w:cstheme="minorHAnsi"/>
          <w:sz w:val="22"/>
          <w:szCs w:val="22"/>
        </w:rPr>
      </w:pPr>
      <w:r w:rsidRPr="005F1DC3">
        <w:rPr>
          <w:rFonts w:asciiTheme="minorHAnsi" w:hAnsiTheme="minorHAnsi" w:cstheme="minorHAnsi"/>
          <w:sz w:val="22"/>
          <w:szCs w:val="22"/>
        </w:rPr>
        <w:t>Expertise in mediation and dispute resolution</w:t>
      </w:r>
      <w:r>
        <w:rPr>
          <w:rFonts w:asciiTheme="minorHAnsi" w:hAnsiTheme="minorHAnsi" w:cstheme="minorHAnsi"/>
          <w:sz w:val="22"/>
          <w:szCs w:val="22"/>
        </w:rPr>
        <w:t>.</w:t>
      </w:r>
    </w:p>
    <w:p w14:paraId="6D76D92E" w14:textId="77777777" w:rsidR="00C702D4" w:rsidRDefault="00C702D4" w:rsidP="00C702D4">
      <w:pPr>
        <w:pStyle w:val="ListParagraph"/>
        <w:numPr>
          <w:ilvl w:val="0"/>
          <w:numId w:val="4"/>
        </w:numPr>
        <w:spacing w:after="160" w:line="259" w:lineRule="auto"/>
        <w:rPr>
          <w:rFonts w:asciiTheme="minorHAnsi" w:hAnsiTheme="minorHAnsi" w:cstheme="minorHAnsi"/>
          <w:sz w:val="22"/>
          <w:szCs w:val="22"/>
        </w:rPr>
      </w:pPr>
      <w:r w:rsidRPr="005F1DC3">
        <w:rPr>
          <w:rFonts w:asciiTheme="minorHAnsi" w:hAnsiTheme="minorHAnsi" w:cstheme="minorHAnsi"/>
          <w:sz w:val="22"/>
          <w:szCs w:val="22"/>
        </w:rPr>
        <w:t>Demonstrated commitment to healing informed practice</w:t>
      </w:r>
      <w:r>
        <w:rPr>
          <w:rFonts w:asciiTheme="minorHAnsi" w:hAnsiTheme="minorHAnsi" w:cstheme="minorHAnsi"/>
          <w:sz w:val="22"/>
          <w:szCs w:val="22"/>
        </w:rPr>
        <w:t>.</w:t>
      </w:r>
    </w:p>
    <w:p w14:paraId="0376B845" w14:textId="77777777" w:rsidR="00C702D4" w:rsidRDefault="00C702D4" w:rsidP="00C702D4">
      <w:pPr>
        <w:pStyle w:val="ListParagraph"/>
        <w:numPr>
          <w:ilvl w:val="0"/>
          <w:numId w:val="4"/>
        </w:numPr>
        <w:spacing w:after="160" w:line="259" w:lineRule="auto"/>
        <w:rPr>
          <w:rFonts w:asciiTheme="minorHAnsi" w:hAnsiTheme="minorHAnsi" w:cstheme="minorHAnsi"/>
          <w:sz w:val="22"/>
          <w:szCs w:val="22"/>
        </w:rPr>
      </w:pPr>
      <w:r>
        <w:rPr>
          <w:rFonts w:asciiTheme="minorHAnsi" w:hAnsiTheme="minorHAnsi" w:cstheme="minorHAnsi"/>
          <w:sz w:val="22"/>
          <w:szCs w:val="22"/>
        </w:rPr>
        <w:t>Satisfies the requirements of briefing out to third party legal representatives in the Guidelines (section 7.2.1).</w:t>
      </w:r>
    </w:p>
    <w:p w14:paraId="7C87DA99" w14:textId="77777777" w:rsidR="00C702D4" w:rsidRPr="0032014F" w:rsidRDefault="00C702D4" w:rsidP="00C702D4">
      <w:pPr>
        <w:spacing w:after="160" w:line="259" w:lineRule="auto"/>
        <w:rPr>
          <w:rFonts w:cstheme="minorHAnsi"/>
          <w:sz w:val="22"/>
          <w:szCs w:val="22"/>
        </w:rPr>
      </w:pPr>
    </w:p>
    <w:p w14:paraId="02DA0DE1" w14:textId="77777777" w:rsidR="00C702D4" w:rsidRPr="00022B0A" w:rsidRDefault="00C702D4" w:rsidP="00C702D4">
      <w:pPr>
        <w:pStyle w:val="Heading1"/>
        <w:rPr>
          <w:rFonts w:eastAsia="Calibri"/>
        </w:rPr>
      </w:pPr>
      <w:r w:rsidRPr="00022B0A">
        <w:rPr>
          <w:rFonts w:eastAsia="Calibri"/>
        </w:rPr>
        <w:t>Third Party Provider Panel (</w:t>
      </w:r>
      <w:r w:rsidRPr="005A2BDD">
        <w:t>Non</w:t>
      </w:r>
      <w:r w:rsidRPr="00022B0A">
        <w:rPr>
          <w:rFonts w:eastAsia="Calibri"/>
        </w:rPr>
        <w:t>-Legal)</w:t>
      </w:r>
    </w:p>
    <w:p w14:paraId="0253329B" w14:textId="77777777" w:rsidR="00C702D4" w:rsidRPr="00CE2ECA" w:rsidRDefault="00C702D4" w:rsidP="00C702D4">
      <w:pPr>
        <w:pStyle w:val="Heading2"/>
        <w:rPr>
          <w:rFonts w:eastAsiaTheme="minorHAnsi"/>
          <w:lang w:val="en-AU"/>
        </w:rPr>
      </w:pPr>
      <w:r w:rsidRPr="00CE2ECA">
        <w:rPr>
          <w:rFonts w:eastAsiaTheme="minorHAnsi"/>
          <w:lang w:val="en-AU"/>
        </w:rPr>
        <w:t xml:space="preserve">What is the </w:t>
      </w:r>
      <w:proofErr w:type="gramStart"/>
      <w:r w:rsidRPr="00CE2ECA">
        <w:rPr>
          <w:rFonts w:eastAsiaTheme="minorHAnsi"/>
          <w:lang w:val="en-AU"/>
        </w:rPr>
        <w:t>Third Party</w:t>
      </w:r>
      <w:proofErr w:type="gramEnd"/>
      <w:r w:rsidRPr="00CE2ECA">
        <w:rPr>
          <w:rFonts w:eastAsiaTheme="minorHAnsi"/>
          <w:lang w:val="en-AU"/>
        </w:rPr>
        <w:t xml:space="preserve"> Provider Panel (Non-Legal)?</w:t>
      </w:r>
    </w:p>
    <w:p w14:paraId="4CC90AD3" w14:textId="77777777" w:rsidR="00C702D4" w:rsidRPr="00CE2ECA" w:rsidRDefault="00C702D4" w:rsidP="00C702D4">
      <w:pPr>
        <w:pStyle w:val="ListParagraph"/>
        <w:numPr>
          <w:ilvl w:val="0"/>
          <w:numId w:val="4"/>
        </w:numPr>
        <w:spacing w:after="160" w:line="259" w:lineRule="auto"/>
        <w:rPr>
          <w:rFonts w:asciiTheme="minorHAnsi" w:hAnsiTheme="minorHAnsi" w:cstheme="minorHAnsi"/>
          <w:sz w:val="22"/>
          <w:szCs w:val="22"/>
        </w:rPr>
      </w:pPr>
      <w:bookmarkStart w:id="0" w:name="_Hlk151647116"/>
      <w:r w:rsidRPr="00CE2ECA">
        <w:rPr>
          <w:rFonts w:asciiTheme="minorHAnsi" w:hAnsiTheme="minorHAnsi" w:cstheme="minorHAnsi"/>
          <w:sz w:val="22"/>
          <w:szCs w:val="22"/>
        </w:rPr>
        <w:t>A panel of non-legal service providers accredited to provide high quality professional services to Victorian Traditional Owners that support:</w:t>
      </w:r>
    </w:p>
    <w:p w14:paraId="57B11910" w14:textId="77777777" w:rsidR="00C702D4" w:rsidRPr="00CE2ECA" w:rsidRDefault="00C702D4" w:rsidP="00C702D4">
      <w:pPr>
        <w:pStyle w:val="ListParagraph"/>
        <w:numPr>
          <w:ilvl w:val="1"/>
          <w:numId w:val="4"/>
        </w:numPr>
        <w:spacing w:after="160" w:line="259" w:lineRule="auto"/>
        <w:rPr>
          <w:rFonts w:asciiTheme="minorHAnsi" w:hAnsiTheme="minorHAnsi" w:cstheme="minorHAnsi"/>
          <w:sz w:val="22"/>
          <w:szCs w:val="22"/>
        </w:rPr>
      </w:pPr>
      <w:r w:rsidRPr="00CE2ECA">
        <w:rPr>
          <w:rFonts w:asciiTheme="minorHAnsi" w:hAnsiTheme="minorHAnsi" w:cstheme="minorHAnsi"/>
          <w:sz w:val="22"/>
          <w:szCs w:val="22"/>
        </w:rPr>
        <w:t>Native title claims and native title outcomes</w:t>
      </w:r>
      <w:r>
        <w:rPr>
          <w:rFonts w:asciiTheme="minorHAnsi" w:hAnsiTheme="minorHAnsi" w:cstheme="minorHAnsi"/>
          <w:sz w:val="22"/>
          <w:szCs w:val="22"/>
        </w:rPr>
        <w:t>,</w:t>
      </w:r>
      <w:r w:rsidRPr="00CE2ECA">
        <w:rPr>
          <w:rFonts w:asciiTheme="minorHAnsi" w:hAnsiTheme="minorHAnsi" w:cstheme="minorHAnsi"/>
          <w:sz w:val="22"/>
          <w:szCs w:val="22"/>
        </w:rPr>
        <w:t xml:space="preserve"> including those under the Native Title Act and the Victorian Traditional Owner Settlement Act; and</w:t>
      </w:r>
    </w:p>
    <w:p w14:paraId="401B59E6" w14:textId="77777777" w:rsidR="00C702D4" w:rsidRPr="00CE2ECA" w:rsidRDefault="00C702D4" w:rsidP="00C702D4">
      <w:pPr>
        <w:pStyle w:val="ListParagraph"/>
        <w:numPr>
          <w:ilvl w:val="1"/>
          <w:numId w:val="4"/>
        </w:numPr>
        <w:spacing w:after="160" w:line="259" w:lineRule="auto"/>
        <w:rPr>
          <w:rFonts w:asciiTheme="minorHAnsi" w:hAnsiTheme="minorHAnsi" w:cstheme="minorHAnsi"/>
          <w:sz w:val="22"/>
          <w:szCs w:val="22"/>
        </w:rPr>
      </w:pPr>
      <w:r w:rsidRPr="00CE2ECA">
        <w:rPr>
          <w:rFonts w:asciiTheme="minorHAnsi" w:hAnsiTheme="minorHAnsi" w:cstheme="minorHAnsi"/>
          <w:sz w:val="22"/>
          <w:szCs w:val="22"/>
        </w:rPr>
        <w:lastRenderedPageBreak/>
        <w:t xml:space="preserve">Dispute resolution within and between Traditional Owner groups.   </w:t>
      </w:r>
    </w:p>
    <w:bookmarkEnd w:id="0"/>
    <w:p w14:paraId="74549349" w14:textId="77777777" w:rsidR="00C702D4" w:rsidRPr="00CE2ECA" w:rsidRDefault="00C702D4" w:rsidP="00C702D4">
      <w:pPr>
        <w:pStyle w:val="ListParagraph"/>
        <w:numPr>
          <w:ilvl w:val="0"/>
          <w:numId w:val="4"/>
        </w:numPr>
        <w:spacing w:after="160" w:line="259" w:lineRule="auto"/>
        <w:rPr>
          <w:rFonts w:asciiTheme="minorHAnsi" w:hAnsiTheme="minorHAnsi" w:cstheme="minorHAnsi"/>
          <w:i/>
          <w:iCs/>
          <w:sz w:val="22"/>
          <w:szCs w:val="22"/>
        </w:rPr>
      </w:pPr>
      <w:r w:rsidRPr="00CE2ECA">
        <w:rPr>
          <w:rFonts w:asciiTheme="minorHAnsi" w:hAnsiTheme="minorHAnsi" w:cstheme="minorHAnsi"/>
          <w:sz w:val="22"/>
          <w:szCs w:val="22"/>
        </w:rPr>
        <w:t xml:space="preserve">The panel is open </w:t>
      </w:r>
      <w:r>
        <w:rPr>
          <w:rFonts w:asciiTheme="minorHAnsi" w:hAnsiTheme="minorHAnsi" w:cstheme="minorHAnsi"/>
          <w:sz w:val="22"/>
          <w:szCs w:val="22"/>
        </w:rPr>
        <w:t>non-legal service provides, including</w:t>
      </w:r>
      <w:r w:rsidRPr="00CE2ECA">
        <w:rPr>
          <w:rFonts w:asciiTheme="minorHAnsi" w:hAnsiTheme="minorHAnsi" w:cstheme="minorHAnsi"/>
          <w:sz w:val="22"/>
          <w:szCs w:val="22"/>
        </w:rPr>
        <w:t xml:space="preserve"> researchers, facilitators, and other advisors and consultants.</w:t>
      </w:r>
    </w:p>
    <w:p w14:paraId="6BA34357" w14:textId="77777777" w:rsidR="00C702D4" w:rsidRPr="003B713D" w:rsidRDefault="00C702D4" w:rsidP="00C702D4">
      <w:pPr>
        <w:pStyle w:val="ListParagraph"/>
        <w:numPr>
          <w:ilvl w:val="0"/>
          <w:numId w:val="4"/>
        </w:numPr>
        <w:spacing w:after="160" w:line="259" w:lineRule="auto"/>
        <w:rPr>
          <w:rFonts w:asciiTheme="minorHAnsi" w:hAnsiTheme="minorHAnsi" w:cstheme="minorHAnsi"/>
          <w:i/>
          <w:iCs/>
          <w:sz w:val="22"/>
          <w:szCs w:val="22"/>
        </w:rPr>
      </w:pPr>
      <w:r>
        <w:rPr>
          <w:rFonts w:asciiTheme="minorHAnsi" w:hAnsiTheme="minorHAnsi" w:cstheme="minorHAnsi"/>
          <w:sz w:val="22"/>
          <w:szCs w:val="22"/>
        </w:rPr>
        <w:t>Individuals</w:t>
      </w:r>
      <w:r w:rsidRPr="001B4B8D">
        <w:rPr>
          <w:rFonts w:asciiTheme="minorHAnsi" w:hAnsiTheme="minorHAnsi" w:cstheme="minorHAnsi"/>
          <w:sz w:val="22"/>
          <w:szCs w:val="22"/>
        </w:rPr>
        <w:t xml:space="preserve"> appointed to the panel will be eligible for funding on a </w:t>
      </w:r>
      <w:proofErr w:type="gramStart"/>
      <w:r w:rsidRPr="001B4B8D">
        <w:rPr>
          <w:rFonts w:asciiTheme="minorHAnsi" w:hAnsiTheme="minorHAnsi" w:cstheme="minorHAnsi"/>
          <w:sz w:val="22"/>
          <w:szCs w:val="22"/>
        </w:rPr>
        <w:t>third party</w:t>
      </w:r>
      <w:proofErr w:type="gramEnd"/>
      <w:r w:rsidRPr="001B4B8D">
        <w:rPr>
          <w:rFonts w:asciiTheme="minorHAnsi" w:hAnsiTheme="minorHAnsi" w:cstheme="minorHAnsi"/>
          <w:sz w:val="22"/>
          <w:szCs w:val="22"/>
        </w:rPr>
        <w:t xml:space="preserve"> basis to provide support to Victorian Traditional Owner groups subject to satisfaction of the Guidelines.</w:t>
      </w:r>
    </w:p>
    <w:p w14:paraId="715B4921" w14:textId="77777777" w:rsidR="00C702D4" w:rsidRPr="00CE2ECA" w:rsidRDefault="00C702D4" w:rsidP="00C702D4">
      <w:pPr>
        <w:pStyle w:val="Heading2"/>
      </w:pPr>
      <w:r w:rsidRPr="00CE2ECA">
        <w:t>What are the eligibility criteria for the panel?</w:t>
      </w:r>
    </w:p>
    <w:p w14:paraId="56115FD0" w14:textId="77777777" w:rsidR="00C702D4" w:rsidRPr="001C3FB6" w:rsidRDefault="00C702D4" w:rsidP="00C702D4">
      <w:pPr>
        <w:pStyle w:val="ListParagraph"/>
        <w:numPr>
          <w:ilvl w:val="0"/>
          <w:numId w:val="4"/>
        </w:numPr>
        <w:spacing w:after="160" w:line="259" w:lineRule="auto"/>
        <w:rPr>
          <w:rFonts w:asciiTheme="minorHAnsi" w:hAnsiTheme="minorHAnsi" w:cstheme="minorHAnsi"/>
          <w:sz w:val="22"/>
          <w:szCs w:val="22"/>
        </w:rPr>
      </w:pPr>
      <w:r w:rsidRPr="001C3FB6">
        <w:rPr>
          <w:rFonts w:asciiTheme="minorHAnsi" w:hAnsiTheme="minorHAnsi" w:cstheme="minorHAnsi"/>
          <w:sz w:val="22"/>
          <w:szCs w:val="22"/>
        </w:rPr>
        <w:t>A minimum of 5 years’ experience in the relevant professional field.</w:t>
      </w:r>
    </w:p>
    <w:p w14:paraId="73958CE5" w14:textId="77777777" w:rsidR="00C702D4" w:rsidRPr="001C3FB6" w:rsidRDefault="00C702D4" w:rsidP="00C702D4">
      <w:pPr>
        <w:pStyle w:val="ListParagraph"/>
        <w:numPr>
          <w:ilvl w:val="0"/>
          <w:numId w:val="4"/>
        </w:numPr>
        <w:spacing w:after="160" w:line="259" w:lineRule="auto"/>
        <w:rPr>
          <w:rFonts w:asciiTheme="minorHAnsi" w:hAnsiTheme="minorHAnsi" w:cstheme="minorHAnsi"/>
          <w:sz w:val="22"/>
          <w:szCs w:val="22"/>
        </w:rPr>
      </w:pPr>
      <w:r w:rsidRPr="001C3FB6">
        <w:rPr>
          <w:rFonts w:asciiTheme="minorHAnsi" w:hAnsiTheme="minorHAnsi" w:cstheme="minorHAnsi"/>
          <w:sz w:val="22"/>
          <w:szCs w:val="22"/>
        </w:rPr>
        <w:t>Experience working in native title environments.</w:t>
      </w:r>
    </w:p>
    <w:p w14:paraId="4B4B2154" w14:textId="77777777" w:rsidR="00C702D4" w:rsidRPr="00CE2ECA" w:rsidRDefault="00C702D4" w:rsidP="00C702D4">
      <w:pPr>
        <w:pStyle w:val="ListParagraph"/>
        <w:numPr>
          <w:ilvl w:val="0"/>
          <w:numId w:val="4"/>
        </w:numPr>
        <w:spacing w:after="160" w:line="259" w:lineRule="auto"/>
        <w:rPr>
          <w:rFonts w:asciiTheme="minorHAnsi" w:hAnsiTheme="minorHAnsi" w:cstheme="minorHAnsi"/>
          <w:sz w:val="22"/>
          <w:szCs w:val="22"/>
        </w:rPr>
      </w:pPr>
      <w:r w:rsidRPr="00CE2ECA">
        <w:rPr>
          <w:rFonts w:asciiTheme="minorHAnsi" w:hAnsiTheme="minorHAnsi" w:cstheme="minorHAnsi"/>
          <w:sz w:val="22"/>
          <w:szCs w:val="22"/>
        </w:rPr>
        <w:t>Experience working with Traditional Owners.</w:t>
      </w:r>
    </w:p>
    <w:p w14:paraId="1C4A8256" w14:textId="77777777" w:rsidR="00C702D4" w:rsidRPr="00CE2ECA" w:rsidRDefault="00C702D4" w:rsidP="00C702D4">
      <w:pPr>
        <w:pStyle w:val="ListParagraph"/>
        <w:numPr>
          <w:ilvl w:val="0"/>
          <w:numId w:val="4"/>
        </w:numPr>
        <w:spacing w:after="160" w:line="259" w:lineRule="auto"/>
        <w:rPr>
          <w:rFonts w:asciiTheme="minorHAnsi" w:hAnsiTheme="minorHAnsi" w:cstheme="minorHAnsi"/>
          <w:sz w:val="22"/>
          <w:szCs w:val="22"/>
        </w:rPr>
      </w:pPr>
      <w:r w:rsidRPr="00CE2ECA">
        <w:rPr>
          <w:rFonts w:asciiTheme="minorHAnsi" w:hAnsiTheme="minorHAnsi" w:cstheme="minorHAnsi"/>
          <w:sz w:val="22"/>
          <w:szCs w:val="22"/>
        </w:rPr>
        <w:t>Expertise in mediation and dispute resolution.</w:t>
      </w:r>
    </w:p>
    <w:p w14:paraId="7176E984" w14:textId="77777777" w:rsidR="00C702D4" w:rsidRPr="00CE2ECA" w:rsidRDefault="00C702D4" w:rsidP="00C702D4">
      <w:pPr>
        <w:pStyle w:val="ListParagraph"/>
        <w:numPr>
          <w:ilvl w:val="0"/>
          <w:numId w:val="4"/>
        </w:numPr>
        <w:spacing w:after="160" w:line="259" w:lineRule="auto"/>
        <w:rPr>
          <w:rFonts w:asciiTheme="minorHAnsi" w:hAnsiTheme="minorHAnsi" w:cstheme="minorHAnsi"/>
          <w:sz w:val="22"/>
          <w:szCs w:val="22"/>
        </w:rPr>
      </w:pPr>
      <w:r w:rsidRPr="00CE2ECA">
        <w:rPr>
          <w:rFonts w:asciiTheme="minorHAnsi" w:hAnsiTheme="minorHAnsi" w:cstheme="minorHAnsi"/>
          <w:sz w:val="22"/>
          <w:szCs w:val="22"/>
        </w:rPr>
        <w:t>Demonstrated commitment to healing informed practice.</w:t>
      </w:r>
    </w:p>
    <w:p w14:paraId="79E969B5" w14:textId="77777777" w:rsidR="00C702D4" w:rsidRPr="00CE2ECA" w:rsidRDefault="00C702D4" w:rsidP="00C702D4">
      <w:pPr>
        <w:pStyle w:val="ListParagraph"/>
        <w:numPr>
          <w:ilvl w:val="0"/>
          <w:numId w:val="4"/>
        </w:numPr>
        <w:spacing w:after="160" w:line="259" w:lineRule="auto"/>
        <w:rPr>
          <w:rFonts w:asciiTheme="minorHAnsi" w:hAnsiTheme="minorHAnsi" w:cstheme="minorHAnsi"/>
          <w:sz w:val="22"/>
          <w:szCs w:val="22"/>
        </w:rPr>
      </w:pPr>
      <w:r w:rsidRPr="00CE2ECA">
        <w:rPr>
          <w:rFonts w:asciiTheme="minorHAnsi" w:hAnsiTheme="minorHAnsi" w:cstheme="minorHAnsi"/>
          <w:sz w:val="22"/>
          <w:szCs w:val="22"/>
        </w:rPr>
        <w:t>For researchers, satisfies the requirements of briefing out to consultant researchers in the Guidelines (section 7.2.2).</w:t>
      </w:r>
    </w:p>
    <w:p w14:paraId="0A892F3B" w14:textId="77777777" w:rsidR="00C702D4" w:rsidRPr="00022B0A" w:rsidRDefault="00C702D4" w:rsidP="00C702D4">
      <w:pPr>
        <w:pStyle w:val="Heading1"/>
        <w:rPr>
          <w:rFonts w:eastAsia="Calibri"/>
        </w:rPr>
      </w:pPr>
      <w:r>
        <w:rPr>
          <w:rFonts w:eastAsia="Calibri"/>
        </w:rPr>
        <w:t xml:space="preserve">Application and </w:t>
      </w:r>
      <w:r>
        <w:t>d</w:t>
      </w:r>
      <w:r w:rsidRPr="005A2BDD">
        <w:t>ecision</w:t>
      </w:r>
      <w:r>
        <w:rPr>
          <w:rFonts w:eastAsia="Calibri"/>
        </w:rPr>
        <w:t>-making process</w:t>
      </w:r>
    </w:p>
    <w:p w14:paraId="4BE5A241" w14:textId="77777777" w:rsidR="00C702D4" w:rsidRDefault="00C702D4" w:rsidP="00C702D4">
      <w:pPr>
        <w:pStyle w:val="Heading2"/>
      </w:pPr>
      <w:r>
        <w:t>How will applicants be appointed to the relevant panel?</w:t>
      </w:r>
    </w:p>
    <w:p w14:paraId="438E7DD1" w14:textId="77777777" w:rsidR="00C702D4" w:rsidRPr="005F1DC3" w:rsidRDefault="00C702D4" w:rsidP="00C702D4">
      <w:pPr>
        <w:pStyle w:val="ListParagraph"/>
        <w:numPr>
          <w:ilvl w:val="0"/>
          <w:numId w:val="4"/>
        </w:numPr>
        <w:spacing w:after="160" w:line="259" w:lineRule="auto"/>
        <w:rPr>
          <w:rFonts w:asciiTheme="minorHAnsi" w:hAnsiTheme="minorHAnsi" w:cstheme="minorHAnsi"/>
          <w:sz w:val="22"/>
          <w:szCs w:val="22"/>
        </w:rPr>
      </w:pPr>
      <w:r>
        <w:rPr>
          <w:rFonts w:asciiTheme="minorHAnsi" w:hAnsiTheme="minorHAnsi" w:cstheme="minorHAnsi"/>
          <w:sz w:val="22"/>
          <w:szCs w:val="22"/>
        </w:rPr>
        <w:t>Applicants</w:t>
      </w:r>
      <w:r w:rsidRPr="005F1DC3">
        <w:rPr>
          <w:rFonts w:asciiTheme="minorHAnsi" w:hAnsiTheme="minorHAnsi" w:cstheme="minorHAnsi"/>
          <w:sz w:val="22"/>
          <w:szCs w:val="22"/>
        </w:rPr>
        <w:t xml:space="preserve"> will make an application to FNLRS.</w:t>
      </w:r>
    </w:p>
    <w:p w14:paraId="4C7D8B79" w14:textId="77777777" w:rsidR="00C702D4" w:rsidRPr="005F1DC3" w:rsidRDefault="00C702D4" w:rsidP="00C702D4">
      <w:pPr>
        <w:pStyle w:val="ListParagraph"/>
        <w:numPr>
          <w:ilvl w:val="0"/>
          <w:numId w:val="4"/>
        </w:numPr>
        <w:spacing w:after="160" w:line="259" w:lineRule="auto"/>
        <w:rPr>
          <w:rFonts w:asciiTheme="minorHAnsi" w:hAnsiTheme="minorHAnsi" w:cstheme="minorHAnsi"/>
          <w:sz w:val="22"/>
          <w:szCs w:val="22"/>
        </w:rPr>
      </w:pPr>
      <w:r w:rsidRPr="005F1DC3">
        <w:rPr>
          <w:rFonts w:asciiTheme="minorHAnsi" w:hAnsiTheme="minorHAnsi" w:cstheme="minorHAnsi"/>
          <w:sz w:val="22"/>
          <w:szCs w:val="22"/>
        </w:rPr>
        <w:t>FNLRS will review applications against the eligibility</w:t>
      </w:r>
      <w:r>
        <w:rPr>
          <w:rFonts w:asciiTheme="minorHAnsi" w:hAnsiTheme="minorHAnsi" w:cstheme="minorHAnsi"/>
          <w:sz w:val="22"/>
          <w:szCs w:val="22"/>
        </w:rPr>
        <w:t xml:space="preserve"> criteria</w:t>
      </w:r>
      <w:r w:rsidRPr="005F1DC3">
        <w:rPr>
          <w:rFonts w:asciiTheme="minorHAnsi" w:hAnsiTheme="minorHAnsi" w:cstheme="minorHAnsi"/>
          <w:sz w:val="22"/>
          <w:szCs w:val="22"/>
        </w:rPr>
        <w:t xml:space="preserve"> and </w:t>
      </w:r>
      <w:proofErr w:type="gramStart"/>
      <w:r w:rsidRPr="005F1DC3">
        <w:rPr>
          <w:rFonts w:asciiTheme="minorHAnsi" w:hAnsiTheme="minorHAnsi" w:cstheme="minorHAnsi"/>
          <w:sz w:val="22"/>
          <w:szCs w:val="22"/>
        </w:rPr>
        <w:t>make a decision</w:t>
      </w:r>
      <w:proofErr w:type="gramEnd"/>
      <w:r w:rsidRPr="005F1DC3">
        <w:rPr>
          <w:rFonts w:asciiTheme="minorHAnsi" w:hAnsiTheme="minorHAnsi" w:cstheme="minorHAnsi"/>
          <w:sz w:val="22"/>
          <w:szCs w:val="22"/>
        </w:rPr>
        <w:t>.</w:t>
      </w:r>
    </w:p>
    <w:p w14:paraId="075C84EA" w14:textId="77777777" w:rsidR="00C702D4" w:rsidRDefault="00C702D4" w:rsidP="00C702D4">
      <w:pPr>
        <w:pStyle w:val="ListParagraph"/>
        <w:numPr>
          <w:ilvl w:val="0"/>
          <w:numId w:val="4"/>
        </w:numPr>
        <w:spacing w:after="160" w:line="259" w:lineRule="auto"/>
        <w:rPr>
          <w:rFonts w:asciiTheme="minorHAnsi" w:hAnsiTheme="minorHAnsi" w:cstheme="minorHAnsi"/>
          <w:sz w:val="22"/>
          <w:szCs w:val="22"/>
        </w:rPr>
      </w:pPr>
      <w:r w:rsidRPr="005F1DC3">
        <w:rPr>
          <w:rFonts w:asciiTheme="minorHAnsi" w:hAnsiTheme="minorHAnsi" w:cstheme="minorHAnsi"/>
          <w:sz w:val="22"/>
          <w:szCs w:val="22"/>
        </w:rPr>
        <w:t>Successful applicants will be appointed to</w:t>
      </w:r>
      <w:r>
        <w:rPr>
          <w:rFonts w:asciiTheme="minorHAnsi" w:hAnsiTheme="minorHAnsi" w:cstheme="minorHAnsi"/>
          <w:sz w:val="22"/>
          <w:szCs w:val="22"/>
        </w:rPr>
        <w:t xml:space="preserve"> the relevant </w:t>
      </w:r>
      <w:proofErr w:type="gramStart"/>
      <w:r w:rsidRPr="005F1DC3">
        <w:rPr>
          <w:rFonts w:asciiTheme="minorHAnsi" w:hAnsiTheme="minorHAnsi" w:cstheme="minorHAnsi"/>
          <w:sz w:val="22"/>
          <w:szCs w:val="22"/>
        </w:rPr>
        <w:t>Third Party</w:t>
      </w:r>
      <w:proofErr w:type="gramEnd"/>
      <w:r w:rsidRPr="005F1DC3">
        <w:rPr>
          <w:rFonts w:asciiTheme="minorHAnsi" w:hAnsiTheme="minorHAnsi" w:cstheme="minorHAnsi"/>
          <w:sz w:val="22"/>
          <w:szCs w:val="22"/>
        </w:rPr>
        <w:t xml:space="preserve"> </w:t>
      </w:r>
      <w:r>
        <w:rPr>
          <w:rFonts w:asciiTheme="minorHAnsi" w:hAnsiTheme="minorHAnsi" w:cstheme="minorHAnsi"/>
          <w:sz w:val="22"/>
          <w:szCs w:val="22"/>
        </w:rPr>
        <w:t xml:space="preserve">Provider </w:t>
      </w:r>
      <w:r w:rsidRPr="005F1DC3">
        <w:rPr>
          <w:rFonts w:asciiTheme="minorHAnsi" w:hAnsiTheme="minorHAnsi" w:cstheme="minorHAnsi"/>
          <w:sz w:val="22"/>
          <w:szCs w:val="22"/>
        </w:rPr>
        <w:t>Panel</w:t>
      </w:r>
      <w:r>
        <w:rPr>
          <w:rFonts w:asciiTheme="minorHAnsi" w:hAnsiTheme="minorHAnsi" w:cstheme="minorHAnsi"/>
          <w:sz w:val="22"/>
          <w:szCs w:val="22"/>
        </w:rPr>
        <w:t xml:space="preserve">, </w:t>
      </w:r>
      <w:r w:rsidRPr="005F1DC3">
        <w:rPr>
          <w:rFonts w:asciiTheme="minorHAnsi" w:hAnsiTheme="minorHAnsi" w:cstheme="minorHAnsi"/>
          <w:sz w:val="22"/>
          <w:szCs w:val="22"/>
        </w:rPr>
        <w:t xml:space="preserve">published on </w:t>
      </w:r>
      <w:r>
        <w:rPr>
          <w:rFonts w:asciiTheme="minorHAnsi" w:hAnsiTheme="minorHAnsi" w:cstheme="minorHAnsi"/>
          <w:sz w:val="22"/>
          <w:szCs w:val="22"/>
        </w:rPr>
        <w:t xml:space="preserve">the </w:t>
      </w:r>
      <w:r w:rsidRPr="005F1DC3">
        <w:rPr>
          <w:rFonts w:asciiTheme="minorHAnsi" w:hAnsiTheme="minorHAnsi" w:cstheme="minorHAnsi"/>
          <w:sz w:val="22"/>
          <w:szCs w:val="22"/>
        </w:rPr>
        <w:t>FNLRS website and reviewed regularly.</w:t>
      </w:r>
    </w:p>
    <w:p w14:paraId="0363C454" w14:textId="77777777" w:rsidR="00C702D4" w:rsidRDefault="00C702D4" w:rsidP="00C702D4">
      <w:pPr>
        <w:pStyle w:val="Heading2"/>
      </w:pPr>
      <w:r>
        <w:t>How will the application process work?</w:t>
      </w:r>
    </w:p>
    <w:p w14:paraId="256F6A4A" w14:textId="77777777" w:rsidR="00C702D4" w:rsidRPr="005F1DC3" w:rsidRDefault="00C702D4" w:rsidP="00C702D4">
      <w:pPr>
        <w:pStyle w:val="ListParagraph"/>
        <w:numPr>
          <w:ilvl w:val="0"/>
          <w:numId w:val="4"/>
        </w:numPr>
        <w:spacing w:after="160" w:line="259" w:lineRule="auto"/>
        <w:rPr>
          <w:rFonts w:asciiTheme="minorHAnsi" w:hAnsiTheme="minorHAnsi" w:cstheme="minorHAnsi"/>
          <w:sz w:val="22"/>
          <w:szCs w:val="22"/>
        </w:rPr>
      </w:pPr>
      <w:r>
        <w:rPr>
          <w:rFonts w:asciiTheme="minorHAnsi" w:hAnsiTheme="minorHAnsi" w:cstheme="minorHAnsi"/>
          <w:sz w:val="22"/>
          <w:szCs w:val="22"/>
        </w:rPr>
        <w:t>Applicants</w:t>
      </w:r>
      <w:r w:rsidRPr="005F1DC3">
        <w:rPr>
          <w:rFonts w:asciiTheme="minorHAnsi" w:hAnsiTheme="minorHAnsi" w:cstheme="minorHAnsi"/>
          <w:sz w:val="22"/>
          <w:szCs w:val="22"/>
        </w:rPr>
        <w:t xml:space="preserve"> must complete an application </w:t>
      </w:r>
      <w:r>
        <w:rPr>
          <w:rFonts w:asciiTheme="minorHAnsi" w:hAnsiTheme="minorHAnsi" w:cstheme="minorHAnsi"/>
          <w:sz w:val="22"/>
          <w:szCs w:val="22"/>
        </w:rPr>
        <w:t>covering</w:t>
      </w:r>
      <w:r w:rsidRPr="005F1DC3">
        <w:rPr>
          <w:rFonts w:asciiTheme="minorHAnsi" w:hAnsiTheme="minorHAnsi" w:cstheme="minorHAnsi"/>
          <w:sz w:val="22"/>
          <w:szCs w:val="22"/>
        </w:rPr>
        <w:t>:</w:t>
      </w:r>
    </w:p>
    <w:p w14:paraId="3E4D4CF5" w14:textId="77777777" w:rsidR="00C702D4" w:rsidRPr="005F1DC3" w:rsidRDefault="00C702D4" w:rsidP="00C702D4">
      <w:pPr>
        <w:pStyle w:val="ListParagraph"/>
        <w:numPr>
          <w:ilvl w:val="1"/>
          <w:numId w:val="4"/>
        </w:numPr>
        <w:spacing w:after="160" w:line="259" w:lineRule="auto"/>
        <w:rPr>
          <w:rFonts w:asciiTheme="minorHAnsi" w:hAnsiTheme="minorHAnsi" w:cstheme="minorHAnsi"/>
          <w:sz w:val="22"/>
          <w:szCs w:val="22"/>
        </w:rPr>
      </w:pPr>
      <w:r w:rsidRPr="005F1DC3">
        <w:rPr>
          <w:rFonts w:asciiTheme="minorHAnsi" w:hAnsiTheme="minorHAnsi" w:cstheme="minorHAnsi"/>
          <w:sz w:val="22"/>
          <w:szCs w:val="22"/>
        </w:rPr>
        <w:t xml:space="preserve">Qualifications and </w:t>
      </w:r>
      <w:proofErr w:type="gramStart"/>
      <w:r w:rsidRPr="005F1DC3">
        <w:rPr>
          <w:rFonts w:asciiTheme="minorHAnsi" w:hAnsiTheme="minorHAnsi" w:cstheme="minorHAnsi"/>
          <w:sz w:val="22"/>
          <w:szCs w:val="22"/>
        </w:rPr>
        <w:t>experience</w:t>
      </w:r>
      <w:r>
        <w:rPr>
          <w:rFonts w:asciiTheme="minorHAnsi" w:hAnsiTheme="minorHAnsi" w:cstheme="minorHAnsi"/>
          <w:sz w:val="22"/>
          <w:szCs w:val="22"/>
        </w:rPr>
        <w:t>;</w:t>
      </w:r>
      <w:proofErr w:type="gramEnd"/>
      <w:r w:rsidRPr="005F1DC3">
        <w:rPr>
          <w:rFonts w:asciiTheme="minorHAnsi" w:hAnsiTheme="minorHAnsi" w:cstheme="minorHAnsi"/>
          <w:sz w:val="22"/>
          <w:szCs w:val="22"/>
        </w:rPr>
        <w:t xml:space="preserve"> </w:t>
      </w:r>
    </w:p>
    <w:p w14:paraId="368E360F" w14:textId="77777777" w:rsidR="00C702D4" w:rsidRPr="005F1DC3" w:rsidRDefault="00C702D4" w:rsidP="00C702D4">
      <w:pPr>
        <w:pStyle w:val="ListParagraph"/>
        <w:numPr>
          <w:ilvl w:val="1"/>
          <w:numId w:val="4"/>
        </w:numPr>
        <w:spacing w:after="160" w:line="259" w:lineRule="auto"/>
        <w:rPr>
          <w:rFonts w:asciiTheme="minorHAnsi" w:hAnsiTheme="minorHAnsi" w:cstheme="minorHAnsi"/>
          <w:sz w:val="22"/>
          <w:szCs w:val="22"/>
        </w:rPr>
      </w:pPr>
      <w:r w:rsidRPr="005F1DC3">
        <w:rPr>
          <w:rFonts w:asciiTheme="minorHAnsi" w:hAnsiTheme="minorHAnsi" w:cstheme="minorHAnsi"/>
          <w:sz w:val="22"/>
          <w:szCs w:val="22"/>
        </w:rPr>
        <w:t>Response</w:t>
      </w:r>
      <w:r>
        <w:rPr>
          <w:rFonts w:asciiTheme="minorHAnsi" w:hAnsiTheme="minorHAnsi" w:cstheme="minorHAnsi"/>
          <w:sz w:val="22"/>
          <w:szCs w:val="22"/>
        </w:rPr>
        <w:t>s</w:t>
      </w:r>
      <w:r w:rsidRPr="005F1DC3">
        <w:rPr>
          <w:rFonts w:asciiTheme="minorHAnsi" w:hAnsiTheme="minorHAnsi" w:cstheme="minorHAnsi"/>
          <w:sz w:val="22"/>
          <w:szCs w:val="22"/>
        </w:rPr>
        <w:t xml:space="preserve"> to eligibility </w:t>
      </w:r>
      <w:proofErr w:type="gramStart"/>
      <w:r w:rsidRPr="005F1DC3">
        <w:rPr>
          <w:rFonts w:asciiTheme="minorHAnsi" w:hAnsiTheme="minorHAnsi" w:cstheme="minorHAnsi"/>
          <w:sz w:val="22"/>
          <w:szCs w:val="22"/>
        </w:rPr>
        <w:t>criteria</w:t>
      </w:r>
      <w:r>
        <w:rPr>
          <w:rFonts w:asciiTheme="minorHAnsi" w:hAnsiTheme="minorHAnsi" w:cstheme="minorHAnsi"/>
          <w:sz w:val="22"/>
          <w:szCs w:val="22"/>
        </w:rPr>
        <w:t>;</w:t>
      </w:r>
      <w:proofErr w:type="gramEnd"/>
    </w:p>
    <w:p w14:paraId="08BCBC3D" w14:textId="77777777" w:rsidR="00C702D4" w:rsidRPr="005F1DC3" w:rsidRDefault="00C702D4" w:rsidP="00C702D4">
      <w:pPr>
        <w:pStyle w:val="ListParagraph"/>
        <w:numPr>
          <w:ilvl w:val="1"/>
          <w:numId w:val="4"/>
        </w:numPr>
        <w:spacing w:after="160" w:line="259" w:lineRule="auto"/>
        <w:rPr>
          <w:rFonts w:asciiTheme="minorHAnsi" w:hAnsiTheme="minorHAnsi" w:cstheme="minorHAnsi"/>
          <w:sz w:val="22"/>
          <w:szCs w:val="22"/>
        </w:rPr>
      </w:pPr>
      <w:r w:rsidRPr="005F1DC3">
        <w:rPr>
          <w:rFonts w:asciiTheme="minorHAnsi" w:hAnsiTheme="minorHAnsi" w:cstheme="minorHAnsi"/>
          <w:sz w:val="22"/>
          <w:szCs w:val="22"/>
        </w:rPr>
        <w:t xml:space="preserve">Declaration of commitment to enter into a </w:t>
      </w:r>
      <w:proofErr w:type="gramStart"/>
      <w:r w:rsidRPr="005F1DC3">
        <w:rPr>
          <w:rFonts w:asciiTheme="minorHAnsi" w:hAnsiTheme="minorHAnsi" w:cstheme="minorHAnsi"/>
          <w:sz w:val="22"/>
          <w:szCs w:val="22"/>
        </w:rPr>
        <w:t>third</w:t>
      </w:r>
      <w:r>
        <w:rPr>
          <w:rFonts w:asciiTheme="minorHAnsi" w:hAnsiTheme="minorHAnsi" w:cstheme="minorHAnsi"/>
          <w:sz w:val="22"/>
          <w:szCs w:val="22"/>
        </w:rPr>
        <w:t xml:space="preserve"> </w:t>
      </w:r>
      <w:r w:rsidRPr="005F1DC3">
        <w:rPr>
          <w:rFonts w:asciiTheme="minorHAnsi" w:hAnsiTheme="minorHAnsi" w:cstheme="minorHAnsi"/>
          <w:sz w:val="22"/>
          <w:szCs w:val="22"/>
        </w:rPr>
        <w:t>party</w:t>
      </w:r>
      <w:proofErr w:type="gramEnd"/>
      <w:r w:rsidRPr="005F1DC3">
        <w:rPr>
          <w:rFonts w:asciiTheme="minorHAnsi" w:hAnsiTheme="minorHAnsi" w:cstheme="minorHAnsi"/>
          <w:sz w:val="22"/>
          <w:szCs w:val="22"/>
        </w:rPr>
        <w:t xml:space="preserve"> payee arrangement</w:t>
      </w:r>
      <w:r>
        <w:rPr>
          <w:rFonts w:asciiTheme="minorHAnsi" w:hAnsiTheme="minorHAnsi" w:cstheme="minorHAnsi"/>
          <w:sz w:val="22"/>
          <w:szCs w:val="22"/>
        </w:rPr>
        <w:t>;</w:t>
      </w:r>
    </w:p>
    <w:p w14:paraId="4B8E1B05" w14:textId="77777777" w:rsidR="00C702D4" w:rsidRDefault="00C702D4" w:rsidP="00C702D4">
      <w:pPr>
        <w:pStyle w:val="ListParagraph"/>
        <w:numPr>
          <w:ilvl w:val="1"/>
          <w:numId w:val="4"/>
        </w:numPr>
        <w:spacing w:after="160" w:line="259" w:lineRule="auto"/>
        <w:rPr>
          <w:rFonts w:asciiTheme="minorHAnsi" w:hAnsiTheme="minorHAnsi" w:cstheme="minorHAnsi"/>
          <w:sz w:val="22"/>
          <w:szCs w:val="22"/>
        </w:rPr>
      </w:pPr>
      <w:proofErr w:type="gramStart"/>
      <w:r w:rsidRPr="005F1DC3">
        <w:rPr>
          <w:rFonts w:asciiTheme="minorHAnsi" w:hAnsiTheme="minorHAnsi" w:cstheme="minorHAnsi"/>
          <w:sz w:val="22"/>
          <w:szCs w:val="22"/>
        </w:rPr>
        <w:t>Referees</w:t>
      </w:r>
      <w:r>
        <w:rPr>
          <w:rFonts w:asciiTheme="minorHAnsi" w:hAnsiTheme="minorHAnsi" w:cstheme="minorHAnsi"/>
          <w:sz w:val="22"/>
          <w:szCs w:val="22"/>
        </w:rPr>
        <w:t>;</w:t>
      </w:r>
      <w:proofErr w:type="gramEnd"/>
    </w:p>
    <w:p w14:paraId="25AF64C3" w14:textId="77777777" w:rsidR="00C702D4" w:rsidRPr="000F3884" w:rsidRDefault="00C702D4" w:rsidP="00C702D4">
      <w:pPr>
        <w:pStyle w:val="ListParagraph"/>
        <w:numPr>
          <w:ilvl w:val="1"/>
          <w:numId w:val="4"/>
        </w:numPr>
        <w:spacing w:after="160" w:line="259" w:lineRule="auto"/>
        <w:rPr>
          <w:rFonts w:asciiTheme="minorHAnsi" w:hAnsiTheme="minorHAnsi" w:cstheme="minorHAnsi"/>
          <w:sz w:val="22"/>
          <w:szCs w:val="22"/>
        </w:rPr>
      </w:pPr>
      <w:r>
        <w:rPr>
          <w:rFonts w:asciiTheme="minorHAnsi" w:hAnsiTheme="minorHAnsi" w:cstheme="minorHAnsi"/>
          <w:sz w:val="22"/>
          <w:szCs w:val="22"/>
        </w:rPr>
        <w:t>Other information as requested in the application form.</w:t>
      </w:r>
    </w:p>
    <w:p w14:paraId="54B94D6D" w14:textId="77777777" w:rsidR="00C702D4" w:rsidRDefault="00C702D4" w:rsidP="00C702D4">
      <w:pPr>
        <w:pStyle w:val="Heading2"/>
      </w:pPr>
      <w:r>
        <w:t>How will the decision-making process work?</w:t>
      </w:r>
    </w:p>
    <w:p w14:paraId="63DC3E77" w14:textId="77777777" w:rsidR="00C702D4" w:rsidRPr="005F1DC3" w:rsidRDefault="00C702D4" w:rsidP="00C702D4">
      <w:pPr>
        <w:pStyle w:val="ListParagraph"/>
        <w:numPr>
          <w:ilvl w:val="0"/>
          <w:numId w:val="4"/>
        </w:numPr>
        <w:spacing w:after="160" w:line="259" w:lineRule="auto"/>
        <w:rPr>
          <w:rFonts w:asciiTheme="minorHAnsi" w:hAnsiTheme="minorHAnsi" w:cstheme="minorHAnsi"/>
          <w:sz w:val="22"/>
          <w:szCs w:val="22"/>
        </w:rPr>
      </w:pPr>
      <w:r>
        <w:rPr>
          <w:rFonts w:asciiTheme="minorHAnsi" w:hAnsiTheme="minorHAnsi" w:cstheme="minorHAnsi"/>
          <w:sz w:val="22"/>
          <w:szCs w:val="22"/>
        </w:rPr>
        <w:t>A</w:t>
      </w:r>
      <w:r w:rsidRPr="005F1DC3">
        <w:rPr>
          <w:rFonts w:asciiTheme="minorHAnsi" w:hAnsiTheme="minorHAnsi" w:cstheme="minorHAnsi"/>
          <w:sz w:val="22"/>
          <w:szCs w:val="22"/>
        </w:rPr>
        <w:t>pplication</w:t>
      </w:r>
      <w:r>
        <w:rPr>
          <w:rFonts w:asciiTheme="minorHAnsi" w:hAnsiTheme="minorHAnsi" w:cstheme="minorHAnsi"/>
          <w:sz w:val="22"/>
          <w:szCs w:val="22"/>
        </w:rPr>
        <w:t>s</w:t>
      </w:r>
      <w:r w:rsidRPr="005F1DC3">
        <w:rPr>
          <w:rFonts w:asciiTheme="minorHAnsi" w:hAnsiTheme="minorHAnsi" w:cstheme="minorHAnsi"/>
          <w:sz w:val="22"/>
          <w:szCs w:val="22"/>
        </w:rPr>
        <w:t xml:space="preserve"> </w:t>
      </w:r>
      <w:r>
        <w:rPr>
          <w:rFonts w:asciiTheme="minorHAnsi" w:hAnsiTheme="minorHAnsi" w:cstheme="minorHAnsi"/>
          <w:sz w:val="22"/>
          <w:szCs w:val="22"/>
        </w:rPr>
        <w:t>are to be emailed to the FNLRS contact person listed on the application form.</w:t>
      </w:r>
    </w:p>
    <w:p w14:paraId="13553C57" w14:textId="77777777" w:rsidR="00C702D4" w:rsidRPr="0032014F" w:rsidRDefault="00C702D4" w:rsidP="00C702D4">
      <w:pPr>
        <w:pStyle w:val="ListParagraph"/>
        <w:numPr>
          <w:ilvl w:val="0"/>
          <w:numId w:val="4"/>
        </w:numPr>
        <w:spacing w:after="160" w:line="259" w:lineRule="auto"/>
        <w:rPr>
          <w:rFonts w:asciiTheme="minorHAnsi" w:hAnsiTheme="minorHAnsi" w:cstheme="minorHAnsi"/>
          <w:sz w:val="22"/>
          <w:szCs w:val="22"/>
        </w:rPr>
      </w:pPr>
      <w:r>
        <w:rPr>
          <w:rFonts w:asciiTheme="minorHAnsi" w:hAnsiTheme="minorHAnsi" w:cstheme="minorHAnsi"/>
          <w:sz w:val="22"/>
          <w:szCs w:val="22"/>
        </w:rPr>
        <w:t>Completed a</w:t>
      </w:r>
      <w:r w:rsidRPr="005F1DC3">
        <w:rPr>
          <w:rFonts w:asciiTheme="minorHAnsi" w:hAnsiTheme="minorHAnsi" w:cstheme="minorHAnsi"/>
          <w:sz w:val="22"/>
          <w:szCs w:val="22"/>
        </w:rPr>
        <w:t>pplications</w:t>
      </w:r>
      <w:r>
        <w:rPr>
          <w:rFonts w:asciiTheme="minorHAnsi" w:hAnsiTheme="minorHAnsi" w:cstheme="minorHAnsi"/>
          <w:sz w:val="22"/>
          <w:szCs w:val="22"/>
        </w:rPr>
        <w:t xml:space="preserve"> (where responses have been provided to all parts of the application form)</w:t>
      </w:r>
      <w:r w:rsidRPr="005F1DC3">
        <w:rPr>
          <w:rFonts w:asciiTheme="minorHAnsi" w:hAnsiTheme="minorHAnsi" w:cstheme="minorHAnsi"/>
          <w:sz w:val="22"/>
          <w:szCs w:val="22"/>
        </w:rPr>
        <w:t xml:space="preserve"> will be </w:t>
      </w:r>
      <w:r>
        <w:rPr>
          <w:rFonts w:asciiTheme="minorHAnsi" w:hAnsiTheme="minorHAnsi" w:cstheme="minorHAnsi"/>
          <w:sz w:val="22"/>
          <w:szCs w:val="22"/>
        </w:rPr>
        <w:t>referred</w:t>
      </w:r>
      <w:r w:rsidRPr="005F1DC3">
        <w:rPr>
          <w:rFonts w:asciiTheme="minorHAnsi" w:hAnsiTheme="minorHAnsi" w:cstheme="minorHAnsi"/>
          <w:sz w:val="22"/>
          <w:szCs w:val="22"/>
        </w:rPr>
        <w:t xml:space="preserve"> to the Assessment Committee for a formal decision on acceptance or rejection.</w:t>
      </w:r>
    </w:p>
    <w:p w14:paraId="47F898AB" w14:textId="77777777" w:rsidR="00C702D4" w:rsidRPr="005F1DC3" w:rsidRDefault="00C702D4" w:rsidP="00C702D4">
      <w:pPr>
        <w:pStyle w:val="ListParagraph"/>
        <w:numPr>
          <w:ilvl w:val="0"/>
          <w:numId w:val="4"/>
        </w:num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The </w:t>
      </w:r>
      <w:r w:rsidRPr="005F1DC3">
        <w:rPr>
          <w:rFonts w:asciiTheme="minorHAnsi" w:hAnsiTheme="minorHAnsi" w:cstheme="minorHAnsi"/>
          <w:sz w:val="22"/>
          <w:szCs w:val="22"/>
        </w:rPr>
        <w:t>Assessment Committee will review applications against the eligibility criteria.</w:t>
      </w:r>
    </w:p>
    <w:p w14:paraId="2705A167" w14:textId="77777777" w:rsidR="00C702D4" w:rsidRPr="005F1DC3" w:rsidRDefault="00C702D4" w:rsidP="00C702D4">
      <w:pPr>
        <w:pStyle w:val="ListParagraph"/>
        <w:numPr>
          <w:ilvl w:val="0"/>
          <w:numId w:val="4"/>
        </w:numPr>
        <w:spacing w:after="160" w:line="259" w:lineRule="auto"/>
        <w:rPr>
          <w:rFonts w:asciiTheme="minorHAnsi" w:hAnsiTheme="minorHAnsi" w:cstheme="minorHAnsi"/>
          <w:sz w:val="22"/>
          <w:szCs w:val="22"/>
        </w:rPr>
      </w:pPr>
      <w:r w:rsidRPr="005F1DC3">
        <w:rPr>
          <w:rFonts w:asciiTheme="minorHAnsi" w:hAnsiTheme="minorHAnsi" w:cstheme="minorHAnsi"/>
          <w:sz w:val="22"/>
          <w:szCs w:val="22"/>
        </w:rPr>
        <w:t xml:space="preserve">Accepted applicants will be notified by letter and sent a </w:t>
      </w:r>
      <w:r w:rsidRPr="00EF0594">
        <w:rPr>
          <w:rFonts w:asciiTheme="minorHAnsi" w:hAnsiTheme="minorHAnsi" w:cstheme="minorHAnsi"/>
          <w:sz w:val="22"/>
          <w:szCs w:val="22"/>
        </w:rPr>
        <w:t>panel participation agreement.</w:t>
      </w:r>
    </w:p>
    <w:p w14:paraId="1E0DB89F" w14:textId="77777777" w:rsidR="00C702D4" w:rsidRPr="005F1DC3" w:rsidRDefault="00C702D4" w:rsidP="00C702D4">
      <w:pPr>
        <w:pStyle w:val="ListParagraph"/>
        <w:numPr>
          <w:ilvl w:val="0"/>
          <w:numId w:val="4"/>
        </w:numPr>
        <w:spacing w:after="160" w:line="259" w:lineRule="auto"/>
        <w:rPr>
          <w:rFonts w:asciiTheme="minorHAnsi" w:hAnsiTheme="minorHAnsi" w:cstheme="minorHAnsi"/>
          <w:sz w:val="22"/>
          <w:szCs w:val="22"/>
        </w:rPr>
      </w:pPr>
      <w:r w:rsidRPr="005F1DC3">
        <w:rPr>
          <w:rFonts w:asciiTheme="minorHAnsi" w:hAnsiTheme="minorHAnsi" w:cstheme="minorHAnsi"/>
          <w:sz w:val="22"/>
          <w:szCs w:val="22"/>
        </w:rPr>
        <w:t>The lawyer</w:t>
      </w:r>
      <w:r>
        <w:rPr>
          <w:rFonts w:asciiTheme="minorHAnsi" w:hAnsiTheme="minorHAnsi" w:cstheme="minorHAnsi"/>
          <w:sz w:val="22"/>
          <w:szCs w:val="22"/>
        </w:rPr>
        <w:t xml:space="preserve"> or non-legal service provider</w:t>
      </w:r>
      <w:r w:rsidRPr="005F1DC3">
        <w:rPr>
          <w:rFonts w:asciiTheme="minorHAnsi" w:hAnsiTheme="minorHAnsi" w:cstheme="minorHAnsi"/>
          <w:sz w:val="22"/>
          <w:szCs w:val="22"/>
        </w:rPr>
        <w:t xml:space="preserve"> will be placed on the </w:t>
      </w:r>
      <w:r>
        <w:rPr>
          <w:rFonts w:asciiTheme="minorHAnsi" w:hAnsiTheme="minorHAnsi" w:cstheme="minorHAnsi"/>
          <w:sz w:val="22"/>
          <w:szCs w:val="22"/>
        </w:rPr>
        <w:t xml:space="preserve">relevant </w:t>
      </w:r>
      <w:r w:rsidRPr="005F1DC3">
        <w:rPr>
          <w:rFonts w:asciiTheme="minorHAnsi" w:hAnsiTheme="minorHAnsi" w:cstheme="minorHAnsi"/>
          <w:sz w:val="22"/>
          <w:szCs w:val="22"/>
        </w:rPr>
        <w:t>panel after the return of the signed agreement.</w:t>
      </w:r>
    </w:p>
    <w:p w14:paraId="0F707B30" w14:textId="77777777" w:rsidR="00C702D4" w:rsidRDefault="00C702D4" w:rsidP="00C702D4">
      <w:pPr>
        <w:pStyle w:val="Heading2"/>
      </w:pPr>
      <w:r>
        <w:t>Who will be part of the Assessment Committee?</w:t>
      </w:r>
    </w:p>
    <w:p w14:paraId="74FA6D47" w14:textId="115222E0" w:rsidR="00BA56FB" w:rsidRPr="00C702D4" w:rsidRDefault="00C702D4" w:rsidP="00C702D4">
      <w:pPr>
        <w:pStyle w:val="ListParagraph"/>
        <w:numPr>
          <w:ilvl w:val="0"/>
          <w:numId w:val="4"/>
        </w:numPr>
        <w:spacing w:after="160" w:line="259" w:lineRule="auto"/>
        <w:rPr>
          <w:rFonts w:asciiTheme="minorHAnsi" w:hAnsiTheme="minorHAnsi" w:cstheme="minorHAnsi"/>
          <w:sz w:val="22"/>
          <w:szCs w:val="22"/>
        </w:rPr>
      </w:pPr>
      <w:r w:rsidRPr="005F1DC3">
        <w:rPr>
          <w:rFonts w:asciiTheme="minorHAnsi" w:hAnsiTheme="minorHAnsi" w:cstheme="minorHAnsi"/>
          <w:sz w:val="22"/>
          <w:szCs w:val="22"/>
        </w:rPr>
        <w:t xml:space="preserve">A sub-committee of FNLRS Board comprised of </w:t>
      </w:r>
      <w:r>
        <w:rPr>
          <w:rFonts w:asciiTheme="minorHAnsi" w:hAnsiTheme="minorHAnsi" w:cstheme="minorHAnsi"/>
          <w:sz w:val="22"/>
          <w:szCs w:val="22"/>
        </w:rPr>
        <w:t>three</w:t>
      </w:r>
      <w:r w:rsidRPr="005F1DC3">
        <w:rPr>
          <w:rFonts w:asciiTheme="minorHAnsi" w:hAnsiTheme="minorHAnsi" w:cstheme="minorHAnsi"/>
          <w:sz w:val="22"/>
          <w:szCs w:val="22"/>
        </w:rPr>
        <w:t xml:space="preserve"> board members and an independent expert member.</w:t>
      </w:r>
    </w:p>
    <w:sectPr w:rsidR="00BA56FB" w:rsidRPr="00C702D4" w:rsidSect="005B147D">
      <w:headerReference w:type="default" r:id="rId7"/>
      <w:headerReference w:type="first" r:id="rId8"/>
      <w:footerReference w:type="first" r:id="rId9"/>
      <w:pgSz w:w="11906" w:h="16838"/>
      <w:pgMar w:top="2611" w:right="1440" w:bottom="1397" w:left="873" w:header="708" w:footer="4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79AE9" w14:textId="77777777" w:rsidR="005B147D" w:rsidRDefault="005B147D" w:rsidP="00BA56FB">
      <w:r>
        <w:separator/>
      </w:r>
    </w:p>
  </w:endnote>
  <w:endnote w:type="continuationSeparator" w:id="0">
    <w:p w14:paraId="717C9A54" w14:textId="77777777" w:rsidR="005B147D" w:rsidRDefault="005B147D" w:rsidP="00BA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7826" w14:textId="6FADBE46" w:rsidR="00B70968" w:rsidRPr="00B70968" w:rsidRDefault="00B70968" w:rsidP="00B70968">
    <w:pPr>
      <w:pStyle w:val="BasicParagraph"/>
      <w:spacing w:after="57"/>
      <w:rPr>
        <w:rFonts w:asciiTheme="minorHAnsi" w:hAnsiTheme="minorHAnsi" w:cstheme="minorHAnsi"/>
        <w:sz w:val="18"/>
        <w:szCs w:val="18"/>
      </w:rPr>
    </w:pPr>
    <w:r w:rsidRPr="00895EB0">
      <w:rPr>
        <w:rFonts w:asciiTheme="minorHAnsi" w:hAnsiTheme="minorHAnsi" w:cstheme="minorHAnsi"/>
        <w:sz w:val="18"/>
        <w:szCs w:val="18"/>
      </w:rPr>
      <w:drawing>
        <wp:anchor distT="0" distB="0" distL="114300" distR="114300" simplePos="0" relativeHeight="251663360" behindDoc="1" locked="0" layoutInCell="1" allowOverlap="1" wp14:anchorId="70BF1135" wp14:editId="428285A8">
          <wp:simplePos x="0" y="0"/>
          <wp:positionH relativeFrom="column">
            <wp:posOffset>-554355</wp:posOffset>
          </wp:positionH>
          <wp:positionV relativeFrom="page">
            <wp:posOffset>9875308</wp:posOffset>
          </wp:positionV>
          <wp:extent cx="7552551" cy="786978"/>
          <wp:effectExtent l="0" t="0" r="4445" b="635"/>
          <wp:wrapNone/>
          <wp:docPr id="656649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4948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73814" cy="789194"/>
                  </a:xfrm>
                  <a:prstGeom prst="rect">
                    <a:avLst/>
                  </a:prstGeom>
                </pic:spPr>
              </pic:pic>
            </a:graphicData>
          </a:graphic>
          <wp14:sizeRelH relativeFrom="page">
            <wp14:pctWidth>0</wp14:pctWidth>
          </wp14:sizeRelH>
          <wp14:sizeRelV relativeFrom="page">
            <wp14:pctHeight>0</wp14:pctHeight>
          </wp14:sizeRelV>
        </wp:anchor>
      </w:drawing>
    </w:r>
    <w:r w:rsidR="00895EB0" w:rsidRPr="00895EB0">
      <w:rPr>
        <w:rFonts w:asciiTheme="minorHAnsi" w:hAnsiTheme="minorHAnsi" w:cstheme="minorHAnsi"/>
        <w:sz w:val="18"/>
        <w:szCs w:val="18"/>
      </w:rPr>
      <w:t>606/</w:t>
    </w:r>
    <w:r w:rsidR="00895EB0">
      <w:rPr>
        <w:rFonts w:asciiTheme="minorHAnsi" w:hAnsiTheme="minorHAnsi" w:cstheme="minorHAnsi"/>
        <w:sz w:val="18"/>
        <w:szCs w:val="18"/>
      </w:rPr>
      <w:t>425 Smith Street, Fitzroy</w:t>
    </w:r>
    <w:r w:rsidRPr="00B70968">
      <w:rPr>
        <w:rFonts w:asciiTheme="minorHAnsi" w:hAnsiTheme="minorHAnsi" w:cstheme="minorHAnsi"/>
        <w:sz w:val="18"/>
        <w:szCs w:val="18"/>
      </w:rPr>
      <w:t xml:space="preserve"> VIC 30</w:t>
    </w:r>
    <w:r w:rsidR="00895EB0">
      <w:rPr>
        <w:rFonts w:asciiTheme="minorHAnsi" w:hAnsiTheme="minorHAnsi" w:cstheme="minorHAnsi"/>
        <w:sz w:val="18"/>
        <w:szCs w:val="18"/>
      </w:rPr>
      <w:t>65</w:t>
    </w:r>
    <w:r w:rsidRPr="00B70968">
      <w:rPr>
        <w:rFonts w:asciiTheme="minorHAnsi" w:hAnsiTheme="minorHAnsi" w:cstheme="minorHAnsi"/>
        <w:sz w:val="18"/>
        <w:szCs w:val="18"/>
      </w:rPr>
      <w:t xml:space="preserve"> </w:t>
    </w:r>
  </w:p>
  <w:p w14:paraId="67CF1F2D" w14:textId="1FDD59DB" w:rsidR="008C62EE" w:rsidRPr="00847F81" w:rsidRDefault="00847F81" w:rsidP="00B70968">
    <w:pPr>
      <w:pStyle w:val="Footer"/>
      <w:rPr>
        <w:rFonts w:cstheme="minorHAnsi"/>
        <w:sz w:val="18"/>
        <w:szCs w:val="18"/>
        <w:lang w:val="en-US"/>
      </w:rPr>
    </w:pPr>
    <w:r w:rsidRPr="00847F81">
      <w:rPr>
        <w:rFonts w:cstheme="minorHAnsi"/>
        <w:sz w:val="18"/>
        <w:szCs w:val="18"/>
        <w:lang w:val="en-US"/>
      </w:rPr>
      <w:t>P (03) 9321 5300</w:t>
    </w:r>
    <w:r>
      <w:rPr>
        <w:rFonts w:cstheme="minorHAnsi"/>
        <w:sz w:val="18"/>
        <w:szCs w:val="18"/>
        <w:lang w:val="en-US"/>
      </w:rPr>
      <w:t xml:space="preserve"> | </w:t>
    </w:r>
    <w:r w:rsidR="00B70968" w:rsidRPr="00B70968">
      <w:rPr>
        <w:rFonts w:cstheme="minorHAnsi"/>
        <w:sz w:val="18"/>
        <w:szCs w:val="18"/>
      </w:rPr>
      <w:t>ABN  27 105 885 149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F1532" w14:textId="77777777" w:rsidR="005B147D" w:rsidRDefault="005B147D" w:rsidP="00BA56FB">
      <w:r>
        <w:separator/>
      </w:r>
    </w:p>
  </w:footnote>
  <w:footnote w:type="continuationSeparator" w:id="0">
    <w:p w14:paraId="4082C517" w14:textId="77777777" w:rsidR="005B147D" w:rsidRDefault="005B147D" w:rsidP="00BA5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1386" w14:textId="2C65FBB0" w:rsidR="00807A69" w:rsidRDefault="008C62EE">
    <w:pPr>
      <w:pStyle w:val="Header"/>
    </w:pPr>
    <w:r>
      <w:rPr>
        <w:noProof/>
      </w:rPr>
      <w:drawing>
        <wp:anchor distT="0" distB="0" distL="114300" distR="114300" simplePos="0" relativeHeight="251665408" behindDoc="1" locked="0" layoutInCell="1" allowOverlap="1" wp14:anchorId="5F75555E" wp14:editId="2C1D31E2">
          <wp:simplePos x="0" y="0"/>
          <wp:positionH relativeFrom="column">
            <wp:posOffset>-554354</wp:posOffset>
          </wp:positionH>
          <wp:positionV relativeFrom="paragraph">
            <wp:posOffset>-449580</wp:posOffset>
          </wp:positionV>
          <wp:extent cx="7558625" cy="1552445"/>
          <wp:effectExtent l="0" t="0" r="0" b="0"/>
          <wp:wrapNone/>
          <wp:docPr id="1596593377" name="Picture 1596593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8873" name="Picture 15118873"/>
                  <pic:cNvPicPr/>
                </pic:nvPicPr>
                <pic:blipFill>
                  <a:blip r:embed="rId1">
                    <a:extLst>
                      <a:ext uri="{28A0092B-C50C-407E-A947-70E740481C1C}">
                        <a14:useLocalDpi xmlns:a14="http://schemas.microsoft.com/office/drawing/2010/main" val="0"/>
                      </a:ext>
                    </a:extLst>
                  </a:blip>
                  <a:stretch>
                    <a:fillRect/>
                  </a:stretch>
                </pic:blipFill>
                <pic:spPr>
                  <a:xfrm>
                    <a:off x="0" y="0"/>
                    <a:ext cx="7558625" cy="15524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06B2" w14:textId="767EDA74" w:rsidR="00DE6C71" w:rsidRDefault="00C01AF6">
    <w:pPr>
      <w:pStyle w:val="Header"/>
    </w:pPr>
    <w:r>
      <w:rPr>
        <w:noProof/>
      </w:rPr>
      <w:drawing>
        <wp:anchor distT="0" distB="0" distL="114300" distR="114300" simplePos="0" relativeHeight="251667456" behindDoc="1" locked="0" layoutInCell="1" allowOverlap="1" wp14:anchorId="7B8F923E" wp14:editId="2385F058">
          <wp:simplePos x="0" y="0"/>
          <wp:positionH relativeFrom="column">
            <wp:posOffset>-558800</wp:posOffset>
          </wp:positionH>
          <wp:positionV relativeFrom="paragraph">
            <wp:posOffset>-432435</wp:posOffset>
          </wp:positionV>
          <wp:extent cx="7558625" cy="1552445"/>
          <wp:effectExtent l="0" t="0" r="0" b="0"/>
          <wp:wrapNone/>
          <wp:docPr id="897160650" name="Picture 897160650"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82972" name="Picture 192282972"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625" cy="1552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A00"/>
    <w:multiLevelType w:val="hybridMultilevel"/>
    <w:tmpl w:val="F594B14E"/>
    <w:lvl w:ilvl="0" w:tplc="04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 w15:restartNumberingAfterBreak="0">
    <w:nsid w:val="20662244"/>
    <w:multiLevelType w:val="hybridMultilevel"/>
    <w:tmpl w:val="6A301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FC7D29"/>
    <w:multiLevelType w:val="hybridMultilevel"/>
    <w:tmpl w:val="EA126F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3E03310"/>
    <w:multiLevelType w:val="hybridMultilevel"/>
    <w:tmpl w:val="36666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9955396">
    <w:abstractNumId w:val="3"/>
  </w:num>
  <w:num w:numId="2" w16cid:durableId="663361436">
    <w:abstractNumId w:val="0"/>
  </w:num>
  <w:num w:numId="3" w16cid:durableId="2026058829">
    <w:abstractNumId w:val="1"/>
  </w:num>
  <w:num w:numId="4" w16cid:durableId="1700349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FB"/>
    <w:rsid w:val="000B451A"/>
    <w:rsid w:val="001C4C28"/>
    <w:rsid w:val="00263BFF"/>
    <w:rsid w:val="00361AB2"/>
    <w:rsid w:val="004571DA"/>
    <w:rsid w:val="005B147D"/>
    <w:rsid w:val="007A0FB0"/>
    <w:rsid w:val="007D7DDB"/>
    <w:rsid w:val="00807A69"/>
    <w:rsid w:val="00847F81"/>
    <w:rsid w:val="00895EB0"/>
    <w:rsid w:val="008C62EE"/>
    <w:rsid w:val="009D2229"/>
    <w:rsid w:val="00B57C21"/>
    <w:rsid w:val="00B70968"/>
    <w:rsid w:val="00BA56FB"/>
    <w:rsid w:val="00C01AF6"/>
    <w:rsid w:val="00C702D4"/>
    <w:rsid w:val="00CF4203"/>
    <w:rsid w:val="00DE6C71"/>
    <w:rsid w:val="00EA2F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4B22D"/>
  <w15:chartTrackingRefBased/>
  <w15:docId w15:val="{60DBB4E6-885C-B342-A1DE-2659FFA5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02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4C28"/>
    <w:pPr>
      <w:keepNext/>
      <w:keepLines/>
      <w:spacing w:before="160" w:after="120"/>
      <w:outlineLvl w:val="1"/>
    </w:pPr>
    <w:rPr>
      <w:rFonts w:asciiTheme="majorHAnsi" w:eastAsiaTheme="majorEastAsia" w:hAnsiTheme="majorHAnsi" w:cstheme="majorBidi"/>
      <w:b/>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6FB"/>
    <w:pPr>
      <w:tabs>
        <w:tab w:val="center" w:pos="4513"/>
        <w:tab w:val="right" w:pos="9026"/>
      </w:tabs>
    </w:pPr>
  </w:style>
  <w:style w:type="character" w:customStyle="1" w:styleId="HeaderChar">
    <w:name w:val="Header Char"/>
    <w:basedOn w:val="DefaultParagraphFont"/>
    <w:link w:val="Header"/>
    <w:uiPriority w:val="99"/>
    <w:rsid w:val="00BA56FB"/>
  </w:style>
  <w:style w:type="paragraph" w:styleId="Footer">
    <w:name w:val="footer"/>
    <w:basedOn w:val="Normal"/>
    <w:link w:val="FooterChar"/>
    <w:uiPriority w:val="99"/>
    <w:unhideWhenUsed/>
    <w:rsid w:val="00BA56FB"/>
    <w:pPr>
      <w:tabs>
        <w:tab w:val="center" w:pos="4513"/>
        <w:tab w:val="right" w:pos="9026"/>
      </w:tabs>
    </w:pPr>
  </w:style>
  <w:style w:type="character" w:customStyle="1" w:styleId="FooterChar">
    <w:name w:val="Footer Char"/>
    <w:basedOn w:val="DefaultParagraphFont"/>
    <w:link w:val="Footer"/>
    <w:uiPriority w:val="99"/>
    <w:rsid w:val="00BA56FB"/>
  </w:style>
  <w:style w:type="paragraph" w:customStyle="1" w:styleId="BasicParagraph">
    <w:name w:val="[Basic Paragraph]"/>
    <w:basedOn w:val="Normal"/>
    <w:uiPriority w:val="99"/>
    <w:rsid w:val="00B70968"/>
    <w:pPr>
      <w:autoSpaceDE w:val="0"/>
      <w:autoSpaceDN w:val="0"/>
      <w:adjustRightInd w:val="0"/>
      <w:spacing w:line="288" w:lineRule="auto"/>
      <w:textAlignment w:val="center"/>
    </w:pPr>
    <w:rPr>
      <w:rFonts w:ascii="Minion Pro" w:hAnsi="Minion Pro" w:cs="Minion Pro"/>
      <w:color w:val="000000"/>
      <w:kern w:val="0"/>
      <w:lang w:val="en-US"/>
    </w:rPr>
  </w:style>
  <w:style w:type="character" w:styleId="Hyperlink">
    <w:name w:val="Hyperlink"/>
    <w:rsid w:val="007D7DDB"/>
    <w:rPr>
      <w:color w:val="0000FF"/>
      <w:u w:val="single"/>
    </w:rPr>
  </w:style>
  <w:style w:type="paragraph" w:styleId="ListParagraph">
    <w:name w:val="List Paragraph"/>
    <w:basedOn w:val="Normal"/>
    <w:uiPriority w:val="34"/>
    <w:qFormat/>
    <w:rsid w:val="007D7DDB"/>
    <w:pPr>
      <w:ind w:left="720"/>
      <w:contextualSpacing/>
    </w:pPr>
    <w:rPr>
      <w:rFonts w:ascii="Times New Roman" w:eastAsia="Calibri" w:hAnsi="Times New Roman" w:cs="Times New Roman"/>
      <w:kern w:val="0"/>
      <w:lang w:val="en-US"/>
      <w14:ligatures w14:val="none"/>
    </w:rPr>
  </w:style>
  <w:style w:type="paragraph" w:styleId="Title">
    <w:name w:val="Title"/>
    <w:basedOn w:val="Normal"/>
    <w:next w:val="Normal"/>
    <w:link w:val="TitleChar"/>
    <w:uiPriority w:val="10"/>
    <w:qFormat/>
    <w:rsid w:val="007D7DDB"/>
    <w:pPr>
      <w:contextualSpacing/>
    </w:pPr>
    <w:rPr>
      <w:rFonts w:asciiTheme="majorHAnsi" w:eastAsiaTheme="majorEastAsia" w:hAnsiTheme="majorHAnsi" w:cstheme="majorBidi"/>
      <w:spacing w:val="-10"/>
      <w:kern w:val="28"/>
      <w:sz w:val="56"/>
      <w:szCs w:val="56"/>
      <w:lang w:val="en-US"/>
      <w14:ligatures w14:val="none"/>
    </w:rPr>
  </w:style>
  <w:style w:type="character" w:customStyle="1" w:styleId="TitleChar">
    <w:name w:val="Title Char"/>
    <w:basedOn w:val="DefaultParagraphFont"/>
    <w:link w:val="Title"/>
    <w:uiPriority w:val="10"/>
    <w:rsid w:val="007D7DDB"/>
    <w:rPr>
      <w:rFonts w:asciiTheme="majorHAnsi" w:eastAsiaTheme="majorEastAsia" w:hAnsiTheme="majorHAnsi" w:cstheme="majorBidi"/>
      <w:spacing w:val="-10"/>
      <w:kern w:val="28"/>
      <w:sz w:val="56"/>
      <w:szCs w:val="56"/>
      <w:lang w:val="en-US"/>
      <w14:ligatures w14:val="none"/>
    </w:rPr>
  </w:style>
  <w:style w:type="table" w:styleId="TableGrid">
    <w:name w:val="Table Grid"/>
    <w:basedOn w:val="TableNormal"/>
    <w:uiPriority w:val="39"/>
    <w:rsid w:val="007D7DD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7DDB"/>
    <w:rPr>
      <w:color w:val="666666"/>
    </w:rPr>
  </w:style>
  <w:style w:type="character" w:customStyle="1" w:styleId="Heading2Char">
    <w:name w:val="Heading 2 Char"/>
    <w:basedOn w:val="DefaultParagraphFont"/>
    <w:link w:val="Heading2"/>
    <w:uiPriority w:val="9"/>
    <w:rsid w:val="001C4C28"/>
    <w:rPr>
      <w:rFonts w:asciiTheme="majorHAnsi" w:eastAsiaTheme="majorEastAsia" w:hAnsiTheme="majorHAnsi" w:cstheme="majorBidi"/>
      <w:b/>
      <w:kern w:val="0"/>
      <w:sz w:val="26"/>
      <w:szCs w:val="26"/>
      <w:lang w:val="en-US"/>
      <w14:ligatures w14:val="none"/>
    </w:rPr>
  </w:style>
  <w:style w:type="paragraph" w:customStyle="1" w:styleId="Normal0">
    <w:name w:val="Normal_0"/>
    <w:qFormat/>
    <w:rsid w:val="001C4C28"/>
    <w:pPr>
      <w:spacing w:after="200" w:line="276" w:lineRule="auto"/>
    </w:pPr>
    <w:rPr>
      <w:rFonts w:ascii="Calibri" w:eastAsia="Calibri" w:hAnsi="Calibri" w:cs="Times New Roman"/>
      <w:kern w:val="0"/>
      <w:sz w:val="22"/>
      <w:szCs w:val="22"/>
      <w14:ligatures w14:val="none"/>
    </w:rPr>
  </w:style>
  <w:style w:type="character" w:customStyle="1" w:styleId="Heading1Char">
    <w:name w:val="Heading 1 Char"/>
    <w:basedOn w:val="DefaultParagraphFont"/>
    <w:link w:val="Heading1"/>
    <w:uiPriority w:val="9"/>
    <w:rsid w:val="00C702D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McWaide</dc:creator>
  <cp:keywords/>
  <dc:description/>
  <cp:lastModifiedBy>Tasmin McFarlane (Porter Novelli Aus)</cp:lastModifiedBy>
  <cp:revision>2</cp:revision>
  <dcterms:created xsi:type="dcterms:W3CDTF">2024-04-24T23:25:00Z</dcterms:created>
  <dcterms:modified xsi:type="dcterms:W3CDTF">2024-04-24T23:25:00Z</dcterms:modified>
</cp:coreProperties>
</file>