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62FB" w14:textId="77777777" w:rsidR="004571DA" w:rsidRPr="002868BA" w:rsidRDefault="004571DA" w:rsidP="004571DA">
      <w:pPr>
        <w:pStyle w:val="Title"/>
        <w:jc w:val="center"/>
        <w:rPr>
          <w:rFonts w:eastAsia="Calibri" w:cstheme="majorHAnsi"/>
          <w:b/>
          <w:bCs/>
          <w:sz w:val="36"/>
          <w:szCs w:val="36"/>
          <w:lang w:val="en-AU"/>
        </w:rPr>
      </w:pPr>
      <w:r w:rsidRPr="002868BA">
        <w:rPr>
          <w:rFonts w:eastAsia="Calibri" w:cstheme="majorHAnsi"/>
          <w:b/>
          <w:bCs/>
          <w:sz w:val="36"/>
          <w:szCs w:val="36"/>
          <w:lang w:val="en-AU"/>
        </w:rPr>
        <w:t xml:space="preserve">Third Party </w:t>
      </w:r>
      <w:r>
        <w:rPr>
          <w:rFonts w:eastAsia="Calibri" w:cstheme="majorHAnsi"/>
          <w:b/>
          <w:bCs/>
          <w:sz w:val="36"/>
          <w:szCs w:val="36"/>
          <w:lang w:val="en-AU"/>
        </w:rPr>
        <w:t xml:space="preserve">Provider </w:t>
      </w:r>
      <w:r w:rsidRPr="002868BA">
        <w:rPr>
          <w:rFonts w:eastAsia="Calibri" w:cstheme="majorHAnsi"/>
          <w:b/>
          <w:bCs/>
          <w:sz w:val="36"/>
          <w:szCs w:val="36"/>
          <w:lang w:val="en-AU"/>
        </w:rPr>
        <w:t>Panel</w:t>
      </w:r>
      <w:r>
        <w:rPr>
          <w:rFonts w:eastAsia="Calibri" w:cstheme="majorHAnsi"/>
          <w:b/>
          <w:bCs/>
          <w:sz w:val="36"/>
          <w:szCs w:val="36"/>
          <w:lang w:val="en-AU"/>
        </w:rPr>
        <w:t>s</w:t>
      </w:r>
      <w:r w:rsidRPr="002868BA">
        <w:rPr>
          <w:rFonts w:eastAsia="Calibri" w:cstheme="majorHAnsi"/>
          <w:b/>
          <w:bCs/>
          <w:sz w:val="36"/>
          <w:szCs w:val="36"/>
          <w:lang w:val="en-AU"/>
        </w:rPr>
        <w:t xml:space="preserve"> </w:t>
      </w:r>
      <w:r w:rsidRPr="00720893">
        <w:rPr>
          <w:rFonts w:eastAsia="Calibri" w:cstheme="majorHAnsi"/>
          <w:b/>
          <w:bCs/>
          <w:sz w:val="36"/>
          <w:szCs w:val="36"/>
          <w:lang w:val="en-AU"/>
        </w:rPr>
        <w:t>Assessment</w:t>
      </w:r>
      <w:r w:rsidRPr="002868BA">
        <w:rPr>
          <w:rFonts w:eastAsia="Calibri" w:cstheme="majorHAnsi"/>
          <w:b/>
          <w:bCs/>
          <w:sz w:val="36"/>
          <w:szCs w:val="36"/>
          <w:lang w:val="en-AU"/>
        </w:rPr>
        <w:t xml:space="preserve"> Committee</w:t>
      </w:r>
    </w:p>
    <w:p w14:paraId="43F81BAA" w14:textId="77777777" w:rsidR="004571DA" w:rsidRPr="002868BA" w:rsidRDefault="004571DA" w:rsidP="004571DA">
      <w:pPr>
        <w:jc w:val="center"/>
        <w:rPr>
          <w:rFonts w:asciiTheme="majorHAnsi" w:eastAsia="Calibri" w:hAnsiTheme="majorHAnsi" w:cstheme="majorHAnsi"/>
          <w:b/>
          <w:bCs/>
          <w:sz w:val="36"/>
          <w:szCs w:val="36"/>
        </w:rPr>
      </w:pPr>
      <w:r w:rsidRPr="002868BA">
        <w:rPr>
          <w:rFonts w:asciiTheme="majorHAnsi" w:eastAsia="Calibri" w:hAnsiTheme="majorHAnsi" w:cstheme="majorHAnsi"/>
          <w:b/>
          <w:bCs/>
          <w:sz w:val="36"/>
          <w:szCs w:val="36"/>
        </w:rPr>
        <w:t>Terms of Reference</w:t>
      </w:r>
    </w:p>
    <w:p w14:paraId="204A1290" w14:textId="77777777" w:rsidR="004571DA" w:rsidRDefault="004571DA" w:rsidP="004571DA">
      <w:pPr>
        <w:spacing w:after="160" w:line="276" w:lineRule="auto"/>
        <w:rPr>
          <w:rFonts w:eastAsia="Calibri" w:cstheme="minorHAnsi"/>
          <w:bCs/>
          <w:sz w:val="22"/>
          <w:szCs w:val="22"/>
        </w:rPr>
      </w:pPr>
      <w:r>
        <w:rPr>
          <w:rFonts w:eastAsia="Calibri" w:cstheme="minorHAnsi"/>
          <w:bCs/>
          <w:sz w:val="22"/>
          <w:szCs w:val="22"/>
        </w:rPr>
        <w:pict w14:anchorId="259F8DC4">
          <v:rect id="_x0000_i1034" style="width:0;height:1.5pt" o:hralign="center" o:hrstd="t" o:hr="t" fillcolor="#a0a0a0" stroked="f"/>
        </w:pict>
      </w:r>
    </w:p>
    <w:p w14:paraId="54B6F4EE" w14:textId="77777777" w:rsidR="004571DA" w:rsidRDefault="004571DA" w:rsidP="004571DA">
      <w:pPr>
        <w:spacing w:after="160" w:line="276" w:lineRule="auto"/>
        <w:rPr>
          <w:rFonts w:eastAsia="Calibri" w:cstheme="minorHAnsi"/>
          <w:bCs/>
          <w:sz w:val="22"/>
          <w:szCs w:val="22"/>
        </w:rPr>
      </w:pPr>
    </w:p>
    <w:p w14:paraId="09DF2768" w14:textId="77777777" w:rsidR="004571DA" w:rsidRPr="00885F0D" w:rsidRDefault="004571DA" w:rsidP="004571DA">
      <w:pPr>
        <w:pStyle w:val="Heading2"/>
        <w:rPr>
          <w:rFonts w:eastAsiaTheme="minorHAnsi"/>
          <w:lang w:val="en-AU"/>
        </w:rPr>
      </w:pPr>
      <w:r w:rsidRPr="00885F0D">
        <w:rPr>
          <w:rFonts w:eastAsiaTheme="minorHAnsi"/>
          <w:lang w:val="en-AU"/>
        </w:rPr>
        <w:t>Role and Responsibilities</w:t>
      </w:r>
    </w:p>
    <w:p w14:paraId="50F76532" w14:textId="77777777" w:rsidR="004571DA" w:rsidRDefault="004571DA" w:rsidP="004571DA">
      <w:pPr>
        <w:spacing w:after="200" w:line="276" w:lineRule="auto"/>
        <w:jc w:val="both"/>
        <w:rPr>
          <w:sz w:val="22"/>
          <w:szCs w:val="22"/>
        </w:rPr>
      </w:pPr>
      <w:r w:rsidRPr="0098679D">
        <w:rPr>
          <w:sz w:val="22"/>
          <w:szCs w:val="22"/>
        </w:rPr>
        <w:t xml:space="preserve">The </w:t>
      </w:r>
      <w:proofErr w:type="gramStart"/>
      <w:r>
        <w:rPr>
          <w:sz w:val="22"/>
          <w:szCs w:val="22"/>
        </w:rPr>
        <w:t>Third Party</w:t>
      </w:r>
      <w:proofErr w:type="gramEnd"/>
      <w:r>
        <w:rPr>
          <w:sz w:val="22"/>
          <w:szCs w:val="22"/>
        </w:rPr>
        <w:t xml:space="preserve"> Provider Panel </w:t>
      </w:r>
      <w:r w:rsidRPr="00720893">
        <w:rPr>
          <w:sz w:val="22"/>
          <w:szCs w:val="22"/>
        </w:rPr>
        <w:t>Assessment</w:t>
      </w:r>
      <w:r>
        <w:rPr>
          <w:sz w:val="22"/>
          <w:szCs w:val="22"/>
        </w:rPr>
        <w:t xml:space="preserve"> Committee (the TPPP Assessment Committee)</w:t>
      </w:r>
      <w:r w:rsidRPr="0098679D">
        <w:rPr>
          <w:sz w:val="22"/>
          <w:szCs w:val="22"/>
        </w:rPr>
        <w:t xml:space="preserve"> role is to assess and decide </w:t>
      </w:r>
      <w:r>
        <w:rPr>
          <w:sz w:val="22"/>
          <w:szCs w:val="22"/>
        </w:rPr>
        <w:t>on</w:t>
      </w:r>
      <w:r w:rsidRPr="0098679D">
        <w:rPr>
          <w:sz w:val="22"/>
          <w:szCs w:val="22"/>
        </w:rPr>
        <w:t xml:space="preserve"> </w:t>
      </w:r>
      <w:r>
        <w:rPr>
          <w:sz w:val="22"/>
          <w:szCs w:val="22"/>
        </w:rPr>
        <w:t>applications made by lawyers and other professionals to join FNLRS’ Third Party Provider Panels.</w:t>
      </w:r>
    </w:p>
    <w:p w14:paraId="3DF213A5" w14:textId="77777777" w:rsidR="004571DA" w:rsidRPr="00885F0D" w:rsidRDefault="004571DA" w:rsidP="004571DA">
      <w:pPr>
        <w:pStyle w:val="Heading2"/>
        <w:rPr>
          <w:rFonts w:eastAsiaTheme="minorHAnsi"/>
          <w:lang w:val="en-AU"/>
        </w:rPr>
      </w:pPr>
      <w:r w:rsidRPr="00885F0D">
        <w:rPr>
          <w:rFonts w:eastAsiaTheme="minorHAnsi"/>
          <w:lang w:val="en-AU"/>
        </w:rPr>
        <w:t>Composition</w:t>
      </w:r>
    </w:p>
    <w:p w14:paraId="0AE86AAD" w14:textId="77777777" w:rsidR="004571DA" w:rsidRPr="0098679D" w:rsidRDefault="004571DA" w:rsidP="004571DA">
      <w:pPr>
        <w:spacing w:after="200" w:line="276" w:lineRule="auto"/>
        <w:jc w:val="both"/>
        <w:rPr>
          <w:sz w:val="22"/>
          <w:szCs w:val="22"/>
        </w:rPr>
      </w:pPr>
      <w:r w:rsidRPr="0098679D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TPPP Assessment Committee is a sub-committee of the FNLRS Board. The TPPP Assessment Committee will comprise three members of the Board and an independent expert member selected by the TPPP Assessment Committee. </w:t>
      </w:r>
      <w:r w:rsidRPr="0098679D">
        <w:rPr>
          <w:sz w:val="22"/>
          <w:szCs w:val="22"/>
        </w:rPr>
        <w:t>In the event of conflict</w:t>
      </w:r>
      <w:r>
        <w:rPr>
          <w:sz w:val="22"/>
          <w:szCs w:val="22"/>
        </w:rPr>
        <w:t>s</w:t>
      </w:r>
      <w:r w:rsidRPr="0098679D">
        <w:rPr>
          <w:sz w:val="22"/>
          <w:szCs w:val="22"/>
        </w:rPr>
        <w:t xml:space="preserve"> of interest, the </w:t>
      </w:r>
      <w:r>
        <w:rPr>
          <w:sz w:val="22"/>
          <w:szCs w:val="22"/>
        </w:rPr>
        <w:t>B</w:t>
      </w:r>
      <w:r w:rsidRPr="0098679D">
        <w:rPr>
          <w:sz w:val="22"/>
          <w:szCs w:val="22"/>
        </w:rPr>
        <w:t>oard can appoint replacement members</w:t>
      </w:r>
      <w:r>
        <w:rPr>
          <w:sz w:val="22"/>
          <w:szCs w:val="22"/>
        </w:rPr>
        <w:t>,</w:t>
      </w:r>
      <w:r w:rsidRPr="0098679D">
        <w:rPr>
          <w:sz w:val="22"/>
          <w:szCs w:val="22"/>
        </w:rPr>
        <w:t xml:space="preserve"> as required.</w:t>
      </w:r>
    </w:p>
    <w:p w14:paraId="11511823" w14:textId="77777777" w:rsidR="004571DA" w:rsidRPr="00885F0D" w:rsidRDefault="004571DA" w:rsidP="004571DA">
      <w:pPr>
        <w:pStyle w:val="Heading2"/>
        <w:rPr>
          <w:rFonts w:eastAsiaTheme="minorHAnsi"/>
          <w:lang w:val="en-AU"/>
        </w:rPr>
      </w:pPr>
      <w:r w:rsidRPr="00885F0D">
        <w:rPr>
          <w:rFonts w:eastAsiaTheme="minorHAnsi"/>
          <w:lang w:val="en-AU"/>
        </w:rPr>
        <w:t>Meetings and Procedure</w:t>
      </w:r>
    </w:p>
    <w:p w14:paraId="6F17AD69" w14:textId="77777777" w:rsidR="004571DA" w:rsidRDefault="004571DA" w:rsidP="004571DA">
      <w:pPr>
        <w:spacing w:after="200" w:line="276" w:lineRule="auto"/>
        <w:jc w:val="both"/>
        <w:rPr>
          <w:sz w:val="22"/>
          <w:szCs w:val="22"/>
        </w:rPr>
      </w:pPr>
      <w:r w:rsidRPr="0098679D">
        <w:rPr>
          <w:sz w:val="22"/>
          <w:szCs w:val="22"/>
        </w:rPr>
        <w:t xml:space="preserve">The </w:t>
      </w:r>
      <w:r>
        <w:rPr>
          <w:sz w:val="22"/>
          <w:szCs w:val="22"/>
        </w:rPr>
        <w:t>TPPP Assessment Committee</w:t>
      </w:r>
      <w:r w:rsidRPr="0098679D">
        <w:rPr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 w:rsidRPr="0098679D">
        <w:rPr>
          <w:sz w:val="22"/>
          <w:szCs w:val="22"/>
        </w:rPr>
        <w:t xml:space="preserve"> meet as required and not later than </w:t>
      </w:r>
      <w:r>
        <w:rPr>
          <w:sz w:val="22"/>
          <w:szCs w:val="22"/>
        </w:rPr>
        <w:t>four</w:t>
      </w:r>
      <w:r w:rsidRPr="0098679D">
        <w:rPr>
          <w:sz w:val="22"/>
          <w:szCs w:val="22"/>
        </w:rPr>
        <w:t xml:space="preserve"> weeks after a</w:t>
      </w:r>
      <w:r>
        <w:rPr>
          <w:sz w:val="22"/>
          <w:szCs w:val="22"/>
        </w:rPr>
        <w:t>n application has been referred for decision.</w:t>
      </w:r>
    </w:p>
    <w:p w14:paraId="7A6485E9" w14:textId="77777777" w:rsidR="004571DA" w:rsidRPr="0098679D" w:rsidRDefault="004571DA" w:rsidP="004571DA">
      <w:pPr>
        <w:spacing w:after="200" w:line="276" w:lineRule="auto"/>
        <w:jc w:val="both"/>
        <w:rPr>
          <w:sz w:val="22"/>
          <w:szCs w:val="22"/>
        </w:rPr>
      </w:pPr>
      <w:r w:rsidRPr="0098679D">
        <w:rPr>
          <w:sz w:val="22"/>
          <w:szCs w:val="22"/>
        </w:rPr>
        <w:t xml:space="preserve">Quorum at a meeting </w:t>
      </w:r>
      <w:r>
        <w:rPr>
          <w:sz w:val="22"/>
          <w:szCs w:val="22"/>
        </w:rPr>
        <w:t>will</w:t>
      </w:r>
      <w:r w:rsidRPr="0098679D">
        <w:rPr>
          <w:sz w:val="22"/>
          <w:szCs w:val="22"/>
        </w:rPr>
        <w:t xml:space="preserve"> be achieved with the presence of </w:t>
      </w:r>
      <w:r>
        <w:rPr>
          <w:sz w:val="22"/>
          <w:szCs w:val="22"/>
        </w:rPr>
        <w:t>three</w:t>
      </w:r>
      <w:r w:rsidRPr="0098679D">
        <w:rPr>
          <w:sz w:val="22"/>
          <w:szCs w:val="22"/>
        </w:rPr>
        <w:t xml:space="preserve"> members. </w:t>
      </w:r>
    </w:p>
    <w:p w14:paraId="7D7223B7" w14:textId="77777777" w:rsidR="004571DA" w:rsidRDefault="004571DA" w:rsidP="004571DA">
      <w:pPr>
        <w:spacing w:after="200" w:line="276" w:lineRule="auto"/>
        <w:jc w:val="both"/>
        <w:rPr>
          <w:sz w:val="22"/>
          <w:szCs w:val="22"/>
        </w:rPr>
      </w:pPr>
      <w:r w:rsidRPr="0098679D">
        <w:rPr>
          <w:sz w:val="22"/>
          <w:szCs w:val="22"/>
        </w:rPr>
        <w:t xml:space="preserve">In assessing and deciding </w:t>
      </w:r>
      <w:r>
        <w:rPr>
          <w:sz w:val="22"/>
          <w:szCs w:val="22"/>
        </w:rPr>
        <w:t>on</w:t>
      </w:r>
      <w:r w:rsidRPr="0098679D">
        <w:rPr>
          <w:sz w:val="22"/>
          <w:szCs w:val="22"/>
        </w:rPr>
        <w:t xml:space="preserve"> </w:t>
      </w:r>
      <w:r>
        <w:rPr>
          <w:sz w:val="22"/>
          <w:szCs w:val="22"/>
        </w:rPr>
        <w:t>applications, the TPPP Assessment Committee</w:t>
      </w:r>
      <w:r w:rsidRPr="0098679D">
        <w:rPr>
          <w:sz w:val="22"/>
          <w:szCs w:val="22"/>
        </w:rPr>
        <w:t xml:space="preserve"> </w:t>
      </w:r>
      <w:r>
        <w:rPr>
          <w:sz w:val="22"/>
          <w:szCs w:val="22"/>
        </w:rPr>
        <w:t>will consider:</w:t>
      </w:r>
    </w:p>
    <w:p w14:paraId="1ED12F39" w14:textId="77777777" w:rsidR="004571DA" w:rsidRDefault="004571DA" w:rsidP="004571D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The eligibility criteria for the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n-AU"/>
        </w:rPr>
        <w:t>Third Party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Provider Panels;</w:t>
      </w:r>
    </w:p>
    <w:p w14:paraId="5A0D6E67" w14:textId="77777777" w:rsidR="004571DA" w:rsidRPr="00753290" w:rsidRDefault="004571DA" w:rsidP="004571D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For applicant lawyers, the requirements of briefing out to third party legal representatives in section 7.2.1 of the </w:t>
      </w:r>
      <w:r w:rsidRPr="004215A2">
        <w:rPr>
          <w:rFonts w:asciiTheme="minorHAnsi" w:hAnsiTheme="minorHAnsi" w:cstheme="minorHAnsi"/>
          <w:sz w:val="22"/>
          <w:szCs w:val="22"/>
        </w:rPr>
        <w:t xml:space="preserve">FNLRS </w:t>
      </w:r>
      <w:r w:rsidRPr="004215A2">
        <w:rPr>
          <w:rFonts w:asciiTheme="minorHAnsi" w:hAnsiTheme="minorHAnsi" w:cstheme="minorHAnsi"/>
          <w:i/>
          <w:iCs/>
          <w:sz w:val="22"/>
          <w:szCs w:val="22"/>
        </w:rPr>
        <w:t>Guidelines for Assistance to Native Title Groups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(the Guidelines</w:t>
      </w:r>
      <w:proofErr w:type="gramStart"/>
      <w:r>
        <w:rPr>
          <w:rFonts w:asciiTheme="minorHAnsi" w:hAnsiTheme="minorHAnsi" w:cstheme="minorHAnsi"/>
          <w:sz w:val="22"/>
          <w:szCs w:val="22"/>
        </w:rPr>
        <w:t>);</w:t>
      </w:r>
      <w:proofErr w:type="gramEnd"/>
    </w:p>
    <w:p w14:paraId="5051574F" w14:textId="77777777" w:rsidR="004571DA" w:rsidRPr="004215A2" w:rsidRDefault="004571DA" w:rsidP="004571D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For applicant researchers, the requirements of briefing out to consultant researchers in section 7.2.2 of the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n-AU"/>
        </w:rPr>
        <w:t>Guidelines</w:t>
      </w:r>
      <w:r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5B8F4F22" w14:textId="77777777" w:rsidR="004571DA" w:rsidRPr="004215A2" w:rsidRDefault="004571DA" w:rsidP="004571D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</w:rPr>
        <w:t>Any recommendations provided by the CEO or delegate; and</w:t>
      </w:r>
    </w:p>
    <w:p w14:paraId="23DBB899" w14:textId="77777777" w:rsidR="004571DA" w:rsidRPr="004215A2" w:rsidRDefault="004571DA" w:rsidP="004571D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</w:rPr>
        <w:t>Any other material relevant to the application available to the TPPP Assessment Committee.</w:t>
      </w:r>
    </w:p>
    <w:p w14:paraId="3F4598FA" w14:textId="77777777" w:rsidR="004571DA" w:rsidRPr="0098679D" w:rsidRDefault="004571DA" w:rsidP="004571DA">
      <w:pPr>
        <w:spacing w:after="200" w:line="276" w:lineRule="auto"/>
        <w:jc w:val="both"/>
        <w:rPr>
          <w:sz w:val="22"/>
          <w:szCs w:val="22"/>
        </w:rPr>
      </w:pPr>
      <w:r w:rsidRPr="0098679D">
        <w:rPr>
          <w:sz w:val="22"/>
          <w:szCs w:val="22"/>
        </w:rPr>
        <w:t xml:space="preserve">A minute of decision outlining </w:t>
      </w:r>
      <w:r>
        <w:rPr>
          <w:sz w:val="22"/>
          <w:szCs w:val="22"/>
        </w:rPr>
        <w:t>the TPPP Assessment Committee’s</w:t>
      </w:r>
      <w:r w:rsidRPr="0098679D">
        <w:rPr>
          <w:sz w:val="22"/>
          <w:szCs w:val="22"/>
        </w:rPr>
        <w:t xml:space="preserve"> decision, its reasoning, the material relied upon</w:t>
      </w:r>
      <w:r>
        <w:rPr>
          <w:sz w:val="22"/>
          <w:szCs w:val="22"/>
        </w:rPr>
        <w:t>,</w:t>
      </w:r>
      <w:r w:rsidRPr="0098679D">
        <w:rPr>
          <w:sz w:val="22"/>
          <w:szCs w:val="22"/>
        </w:rPr>
        <w:t xml:space="preserve"> and the review process </w:t>
      </w:r>
      <w:r>
        <w:rPr>
          <w:sz w:val="22"/>
          <w:szCs w:val="22"/>
        </w:rPr>
        <w:t>will</w:t>
      </w:r>
      <w:r w:rsidRPr="0098679D">
        <w:rPr>
          <w:sz w:val="22"/>
          <w:szCs w:val="22"/>
        </w:rPr>
        <w:t xml:space="preserve"> be provided to the applicant as soon as practicable after a decision is made. </w:t>
      </w:r>
    </w:p>
    <w:p w14:paraId="6C0A8F07" w14:textId="77777777" w:rsidR="004571DA" w:rsidRPr="00885F0D" w:rsidRDefault="004571DA" w:rsidP="004571DA">
      <w:pPr>
        <w:pStyle w:val="Heading2"/>
        <w:rPr>
          <w:rFonts w:eastAsiaTheme="minorHAnsi"/>
          <w:lang w:val="en-AU"/>
        </w:rPr>
      </w:pPr>
      <w:r w:rsidRPr="00885F0D">
        <w:rPr>
          <w:rFonts w:eastAsiaTheme="minorHAnsi"/>
          <w:lang w:val="en-AU"/>
        </w:rPr>
        <w:t>Review</w:t>
      </w:r>
    </w:p>
    <w:p w14:paraId="6C1DE212" w14:textId="77777777" w:rsidR="004571DA" w:rsidRPr="00534316" w:rsidRDefault="004571DA" w:rsidP="004571DA">
      <w:pPr>
        <w:spacing w:after="200" w:line="276" w:lineRule="auto"/>
        <w:jc w:val="both"/>
        <w:rPr>
          <w:rFonts w:cstheme="minorHAnsi"/>
        </w:rPr>
      </w:pPr>
      <w:r w:rsidRPr="0098679D">
        <w:rPr>
          <w:sz w:val="22"/>
          <w:szCs w:val="22"/>
        </w:rPr>
        <w:t>Every two years</w:t>
      </w:r>
      <w:r>
        <w:rPr>
          <w:sz w:val="22"/>
          <w:szCs w:val="22"/>
        </w:rPr>
        <w:t>,</w:t>
      </w:r>
      <w:r w:rsidRPr="0098679D">
        <w:rPr>
          <w:sz w:val="22"/>
          <w:szCs w:val="22"/>
        </w:rPr>
        <w:t xml:space="preserve"> the Board will review </w:t>
      </w:r>
      <w:r>
        <w:rPr>
          <w:sz w:val="22"/>
          <w:szCs w:val="22"/>
        </w:rPr>
        <w:t>TPPP Assessment Committee’s</w:t>
      </w:r>
      <w:r w:rsidRPr="0098679D">
        <w:rPr>
          <w:sz w:val="22"/>
          <w:szCs w:val="22"/>
        </w:rPr>
        <w:t xml:space="preserve"> terms of reference and operations.</w:t>
      </w:r>
    </w:p>
    <w:p w14:paraId="5176C759" w14:textId="77777777" w:rsidR="004571DA" w:rsidRPr="00BA56FB" w:rsidRDefault="004571DA" w:rsidP="004571DA">
      <w:pPr>
        <w:rPr>
          <w:rFonts w:asciiTheme="majorHAnsi" w:hAnsiTheme="majorHAnsi" w:cstheme="majorHAnsi"/>
        </w:rPr>
      </w:pPr>
    </w:p>
    <w:p w14:paraId="74FA6D47" w14:textId="77777777" w:rsidR="00BA56FB" w:rsidRPr="004571DA" w:rsidRDefault="00BA56FB" w:rsidP="004571DA"/>
    <w:sectPr w:rsidR="00BA56FB" w:rsidRPr="004571DA" w:rsidSect="005B147D">
      <w:headerReference w:type="default" r:id="rId7"/>
      <w:headerReference w:type="first" r:id="rId8"/>
      <w:footerReference w:type="first" r:id="rId9"/>
      <w:pgSz w:w="11906" w:h="16838"/>
      <w:pgMar w:top="2611" w:right="1440" w:bottom="1397" w:left="873" w:header="708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9AE9" w14:textId="77777777" w:rsidR="005B147D" w:rsidRDefault="005B147D" w:rsidP="00BA56FB">
      <w:r>
        <w:separator/>
      </w:r>
    </w:p>
  </w:endnote>
  <w:endnote w:type="continuationSeparator" w:id="0">
    <w:p w14:paraId="717C9A54" w14:textId="77777777" w:rsidR="005B147D" w:rsidRDefault="005B147D" w:rsidP="00BA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7826" w14:textId="6FADBE46" w:rsidR="00B70968" w:rsidRPr="00B70968" w:rsidRDefault="00B70968" w:rsidP="00B70968">
    <w:pPr>
      <w:pStyle w:val="BasicParagraph"/>
      <w:spacing w:after="57"/>
      <w:rPr>
        <w:rFonts w:asciiTheme="minorHAnsi" w:hAnsiTheme="minorHAnsi" w:cstheme="minorHAnsi"/>
        <w:sz w:val="18"/>
        <w:szCs w:val="18"/>
      </w:rPr>
    </w:pPr>
    <w:r w:rsidRPr="00895EB0">
      <w:rPr>
        <w:rFonts w:asciiTheme="minorHAnsi" w:hAnsiTheme="minorHAnsi" w:cstheme="minorHAnsi"/>
        <w:sz w:val="18"/>
        <w:szCs w:val="18"/>
      </w:rPr>
      <w:drawing>
        <wp:anchor distT="0" distB="0" distL="114300" distR="114300" simplePos="0" relativeHeight="251663360" behindDoc="1" locked="0" layoutInCell="1" allowOverlap="1" wp14:anchorId="70BF1135" wp14:editId="428285A8">
          <wp:simplePos x="0" y="0"/>
          <wp:positionH relativeFrom="column">
            <wp:posOffset>-554355</wp:posOffset>
          </wp:positionH>
          <wp:positionV relativeFrom="page">
            <wp:posOffset>9875308</wp:posOffset>
          </wp:positionV>
          <wp:extent cx="7552551" cy="786978"/>
          <wp:effectExtent l="0" t="0" r="4445" b="635"/>
          <wp:wrapNone/>
          <wp:docPr id="65664948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64948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814" cy="789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EB0" w:rsidRPr="00895EB0">
      <w:rPr>
        <w:rFonts w:asciiTheme="minorHAnsi" w:hAnsiTheme="minorHAnsi" w:cstheme="minorHAnsi"/>
        <w:sz w:val="18"/>
        <w:szCs w:val="18"/>
      </w:rPr>
      <w:t>606/</w:t>
    </w:r>
    <w:r w:rsidR="00895EB0">
      <w:rPr>
        <w:rFonts w:asciiTheme="minorHAnsi" w:hAnsiTheme="minorHAnsi" w:cstheme="minorHAnsi"/>
        <w:sz w:val="18"/>
        <w:szCs w:val="18"/>
      </w:rPr>
      <w:t>425 Smith Street, Fitzroy</w:t>
    </w:r>
    <w:r w:rsidRPr="00B70968">
      <w:rPr>
        <w:rFonts w:asciiTheme="minorHAnsi" w:hAnsiTheme="minorHAnsi" w:cstheme="minorHAnsi"/>
        <w:sz w:val="18"/>
        <w:szCs w:val="18"/>
      </w:rPr>
      <w:t xml:space="preserve"> VIC 30</w:t>
    </w:r>
    <w:r w:rsidR="00895EB0">
      <w:rPr>
        <w:rFonts w:asciiTheme="minorHAnsi" w:hAnsiTheme="minorHAnsi" w:cstheme="minorHAnsi"/>
        <w:sz w:val="18"/>
        <w:szCs w:val="18"/>
      </w:rPr>
      <w:t>65</w:t>
    </w:r>
    <w:r w:rsidRPr="00B70968">
      <w:rPr>
        <w:rFonts w:asciiTheme="minorHAnsi" w:hAnsiTheme="minorHAnsi" w:cstheme="minorHAnsi"/>
        <w:sz w:val="18"/>
        <w:szCs w:val="18"/>
      </w:rPr>
      <w:t xml:space="preserve"> </w:t>
    </w:r>
  </w:p>
  <w:p w14:paraId="67CF1F2D" w14:textId="1FDD59DB" w:rsidR="008C62EE" w:rsidRPr="00847F81" w:rsidRDefault="00847F81" w:rsidP="00B70968">
    <w:pPr>
      <w:pStyle w:val="Footer"/>
      <w:rPr>
        <w:rFonts w:cstheme="minorHAnsi"/>
        <w:sz w:val="18"/>
        <w:szCs w:val="18"/>
        <w:lang w:val="en-US"/>
      </w:rPr>
    </w:pPr>
    <w:r w:rsidRPr="00847F81">
      <w:rPr>
        <w:rFonts w:cstheme="minorHAnsi"/>
        <w:sz w:val="18"/>
        <w:szCs w:val="18"/>
        <w:lang w:val="en-US"/>
      </w:rPr>
      <w:t>P (03) 9321 5300</w:t>
    </w:r>
    <w:r>
      <w:rPr>
        <w:rFonts w:cstheme="minorHAnsi"/>
        <w:sz w:val="18"/>
        <w:szCs w:val="18"/>
        <w:lang w:val="en-US"/>
      </w:rPr>
      <w:t xml:space="preserve"> | </w:t>
    </w:r>
    <w:r w:rsidR="00B70968" w:rsidRPr="00B70968">
      <w:rPr>
        <w:rFonts w:cstheme="minorHAnsi"/>
        <w:sz w:val="18"/>
        <w:szCs w:val="18"/>
      </w:rPr>
      <w:t>ABN  27 105 885 149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1532" w14:textId="77777777" w:rsidR="005B147D" w:rsidRDefault="005B147D" w:rsidP="00BA56FB">
      <w:r>
        <w:separator/>
      </w:r>
    </w:p>
  </w:footnote>
  <w:footnote w:type="continuationSeparator" w:id="0">
    <w:p w14:paraId="4082C517" w14:textId="77777777" w:rsidR="005B147D" w:rsidRDefault="005B147D" w:rsidP="00BA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1386" w14:textId="2C65FBB0" w:rsidR="00807A69" w:rsidRDefault="008C62EE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F75555E" wp14:editId="2C1D31E2">
          <wp:simplePos x="0" y="0"/>
          <wp:positionH relativeFrom="column">
            <wp:posOffset>-554354</wp:posOffset>
          </wp:positionH>
          <wp:positionV relativeFrom="paragraph">
            <wp:posOffset>-449580</wp:posOffset>
          </wp:positionV>
          <wp:extent cx="7558625" cy="1552445"/>
          <wp:effectExtent l="0" t="0" r="0" b="0"/>
          <wp:wrapNone/>
          <wp:docPr id="1596593377" name="Picture 1596593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8873" name="Picture 151188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25" cy="155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06B2" w14:textId="767EDA74" w:rsidR="00DE6C71" w:rsidRDefault="00C01AF6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B8F923E" wp14:editId="2385F058">
          <wp:simplePos x="0" y="0"/>
          <wp:positionH relativeFrom="column">
            <wp:posOffset>-558800</wp:posOffset>
          </wp:positionH>
          <wp:positionV relativeFrom="paragraph">
            <wp:posOffset>-432435</wp:posOffset>
          </wp:positionV>
          <wp:extent cx="7558625" cy="1552445"/>
          <wp:effectExtent l="0" t="0" r="0" b="0"/>
          <wp:wrapNone/>
          <wp:docPr id="897160650" name="Picture 897160650" descr="A white background with black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282972" name="Picture 192282972" descr="A white background with black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25" cy="155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A00"/>
    <w:multiLevelType w:val="hybridMultilevel"/>
    <w:tmpl w:val="F594B14E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0662244"/>
    <w:multiLevelType w:val="hybridMultilevel"/>
    <w:tmpl w:val="6A301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03310"/>
    <w:multiLevelType w:val="hybridMultilevel"/>
    <w:tmpl w:val="36666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955396">
    <w:abstractNumId w:val="2"/>
  </w:num>
  <w:num w:numId="2" w16cid:durableId="663361436">
    <w:abstractNumId w:val="0"/>
  </w:num>
  <w:num w:numId="3" w16cid:durableId="2026058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FB"/>
    <w:rsid w:val="000B451A"/>
    <w:rsid w:val="001C4C28"/>
    <w:rsid w:val="00263BFF"/>
    <w:rsid w:val="00361AB2"/>
    <w:rsid w:val="004571DA"/>
    <w:rsid w:val="005B147D"/>
    <w:rsid w:val="007A0FB0"/>
    <w:rsid w:val="007D7DDB"/>
    <w:rsid w:val="00807A69"/>
    <w:rsid w:val="00847F81"/>
    <w:rsid w:val="00895EB0"/>
    <w:rsid w:val="008C62EE"/>
    <w:rsid w:val="009D2229"/>
    <w:rsid w:val="00B57C21"/>
    <w:rsid w:val="00B70968"/>
    <w:rsid w:val="00BA56FB"/>
    <w:rsid w:val="00C01AF6"/>
    <w:rsid w:val="00CF4203"/>
    <w:rsid w:val="00DE6C71"/>
    <w:rsid w:val="00EA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4B22D"/>
  <w15:chartTrackingRefBased/>
  <w15:docId w15:val="{60DBB4E6-885C-B342-A1DE-2659FFA5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C28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kern w:val="0"/>
      <w:sz w:val="26"/>
      <w:szCs w:val="26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6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FB"/>
  </w:style>
  <w:style w:type="paragraph" w:styleId="Footer">
    <w:name w:val="footer"/>
    <w:basedOn w:val="Normal"/>
    <w:link w:val="FooterChar"/>
    <w:uiPriority w:val="99"/>
    <w:unhideWhenUsed/>
    <w:rsid w:val="00BA5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FB"/>
  </w:style>
  <w:style w:type="paragraph" w:customStyle="1" w:styleId="BasicParagraph">
    <w:name w:val="[Basic Paragraph]"/>
    <w:basedOn w:val="Normal"/>
    <w:uiPriority w:val="99"/>
    <w:rsid w:val="00B709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lang w:val="en-US"/>
    </w:rPr>
  </w:style>
  <w:style w:type="character" w:styleId="Hyperlink">
    <w:name w:val="Hyperlink"/>
    <w:rsid w:val="007D7D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7DDB"/>
    <w:pPr>
      <w:ind w:left="720"/>
      <w:contextualSpacing/>
    </w:pPr>
    <w:rPr>
      <w:rFonts w:ascii="Times New Roman" w:eastAsia="Calibri" w:hAnsi="Times New Roman" w:cs="Times New Roman"/>
      <w:kern w:val="0"/>
      <w:lang w:val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7D7D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7D7DD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table" w:styleId="TableGrid">
    <w:name w:val="Table Grid"/>
    <w:basedOn w:val="TableNormal"/>
    <w:uiPriority w:val="39"/>
    <w:rsid w:val="007D7DDB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7DDB"/>
    <w:rPr>
      <w:color w:val="666666"/>
    </w:rPr>
  </w:style>
  <w:style w:type="character" w:customStyle="1" w:styleId="Heading2Char">
    <w:name w:val="Heading 2 Char"/>
    <w:basedOn w:val="DefaultParagraphFont"/>
    <w:link w:val="Heading2"/>
    <w:uiPriority w:val="9"/>
    <w:rsid w:val="001C4C28"/>
    <w:rPr>
      <w:rFonts w:asciiTheme="majorHAnsi" w:eastAsiaTheme="majorEastAsia" w:hAnsiTheme="majorHAnsi" w:cstheme="majorBidi"/>
      <w:b/>
      <w:kern w:val="0"/>
      <w:sz w:val="26"/>
      <w:szCs w:val="26"/>
      <w:lang w:val="en-US"/>
      <w14:ligatures w14:val="none"/>
    </w:rPr>
  </w:style>
  <w:style w:type="paragraph" w:customStyle="1" w:styleId="Normal0">
    <w:name w:val="Normal_0"/>
    <w:qFormat/>
    <w:rsid w:val="001C4C28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McWaide</dc:creator>
  <cp:keywords/>
  <dc:description/>
  <cp:lastModifiedBy>Tasmin McFarlane (Porter Novelli Aus)</cp:lastModifiedBy>
  <cp:revision>2</cp:revision>
  <dcterms:created xsi:type="dcterms:W3CDTF">2024-04-24T23:22:00Z</dcterms:created>
  <dcterms:modified xsi:type="dcterms:W3CDTF">2024-04-24T23:22:00Z</dcterms:modified>
</cp:coreProperties>
</file>